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9DE38" w14:textId="77777777" w:rsidR="00E90667" w:rsidRDefault="007245F3" w:rsidP="007245F3">
      <w:pPr>
        <w:pStyle w:val="Heading3"/>
      </w:pPr>
      <w:r>
        <w:t>NWRI GRADUATE FELLOW PROGRESS REPORT</w:t>
      </w:r>
    </w:p>
    <w:p w14:paraId="52FEDD83" w14:textId="77777777" w:rsidR="00152749" w:rsidRPr="00F00F97" w:rsidRDefault="00152749" w:rsidP="008B30A9">
      <w:pPr>
        <w:rPr>
          <w:sz w:val="20"/>
          <w:szCs w:val="20"/>
        </w:rPr>
      </w:pPr>
    </w:p>
    <w:p w14:paraId="1684DC42" w14:textId="5456E1A4" w:rsidR="003C4708" w:rsidRDefault="007245F3" w:rsidP="00F00F97">
      <w:pPr>
        <w:spacing w:line="240" w:lineRule="auto"/>
      </w:pPr>
      <w:r>
        <w:t>DATE:</w:t>
      </w:r>
      <w:r w:rsidR="00D70B87">
        <w:t xml:space="preserve">  July</w:t>
      </w:r>
      <w:r>
        <w:t xml:space="preserve"> </w:t>
      </w:r>
      <w:r w:rsidR="00D70B87">
        <w:t>1</w:t>
      </w:r>
      <w:r>
        <w:t xml:space="preserve">, </w:t>
      </w:r>
      <w:r w:rsidR="00D70B87">
        <w:t>2024</w:t>
      </w:r>
    </w:p>
    <w:p w14:paraId="02160E6E" w14:textId="77777777" w:rsidR="00D70B87" w:rsidRDefault="007245F3" w:rsidP="00D70B87">
      <w:pPr>
        <w:spacing w:line="240" w:lineRule="auto"/>
      </w:pPr>
      <w:r>
        <w:t xml:space="preserve">Project Title: </w:t>
      </w:r>
      <w:r w:rsidR="00D70B87">
        <w:t>Advanced Treated Wastewater in Distribution Systems: Biostability and</w:t>
      </w:r>
    </w:p>
    <w:p w14:paraId="02029883" w14:textId="23343208" w:rsidR="003D5A95" w:rsidRDefault="00D70B87" w:rsidP="00D70B87">
      <w:pPr>
        <w:spacing w:line="240" w:lineRule="auto"/>
      </w:pPr>
      <w:r>
        <w:t>Biofiltration</w:t>
      </w:r>
      <w:r w:rsidR="007245F3">
        <w:tab/>
      </w:r>
      <w:r w:rsidR="007245F3">
        <w:tab/>
      </w:r>
    </w:p>
    <w:p w14:paraId="38A18679" w14:textId="4F9E25E9" w:rsidR="007245F3" w:rsidRDefault="007245F3" w:rsidP="00F00F97">
      <w:pPr>
        <w:spacing w:line="240" w:lineRule="auto"/>
      </w:pPr>
      <w:r>
        <w:t>Fellow Name:</w:t>
      </w:r>
      <w:r w:rsidR="00D70B87">
        <w:t xml:space="preserve"> Al</w:t>
      </w:r>
      <w:r>
        <w:tab/>
      </w:r>
      <w:r w:rsidR="00D70B87">
        <w:t>ma Bartholow</w:t>
      </w:r>
      <w:r>
        <w:tab/>
      </w:r>
    </w:p>
    <w:p w14:paraId="27B0A23C" w14:textId="642ABFD0" w:rsidR="003D5A95" w:rsidRDefault="007245F3" w:rsidP="00F00F97">
      <w:pPr>
        <w:spacing w:line="240" w:lineRule="auto"/>
      </w:pPr>
      <w:r>
        <w:t>Advisor</w:t>
      </w:r>
      <w:r w:rsidR="00C631B9">
        <w:t>:</w:t>
      </w:r>
      <w:r w:rsidR="00D70B87">
        <w:t xml:space="preserve"> Kara Nelson</w:t>
      </w:r>
    </w:p>
    <w:p w14:paraId="3E4C8CD9" w14:textId="318C7BD7" w:rsidR="00006EB1" w:rsidRDefault="007245F3" w:rsidP="00F00F97">
      <w:pPr>
        <w:spacing w:line="240" w:lineRule="auto"/>
      </w:pPr>
      <w:r>
        <w:t>Institution:</w:t>
      </w:r>
      <w:r w:rsidR="00D70B87">
        <w:t xml:space="preserve"> UC Berkeley</w:t>
      </w:r>
    </w:p>
    <w:p w14:paraId="19C42B63" w14:textId="77777777" w:rsidR="007245F3" w:rsidRDefault="007245F3" w:rsidP="007245F3">
      <w:pPr>
        <w:spacing w:line="276" w:lineRule="auto"/>
      </w:pPr>
      <w:r>
        <w:t>_____________________________________________________________________________________</w:t>
      </w:r>
    </w:p>
    <w:p w14:paraId="6FCCD798" w14:textId="77777777" w:rsidR="007245F3" w:rsidRDefault="007245F3" w:rsidP="007245F3">
      <w:pPr>
        <w:pStyle w:val="Heading3"/>
      </w:pPr>
      <w:r>
        <w:t>Background and Introduction</w:t>
      </w:r>
    </w:p>
    <w:p w14:paraId="1A8F432B" w14:textId="2BA8D027" w:rsidR="00135B77" w:rsidRDefault="00C25253" w:rsidP="006811B2">
      <w:pPr>
        <w:pStyle w:val="ListBullet"/>
        <w:numPr>
          <w:ilvl w:val="0"/>
          <w:numId w:val="0"/>
        </w:numPr>
        <w:spacing w:line="240" w:lineRule="auto"/>
      </w:pPr>
      <w:r>
        <w:t xml:space="preserve">Direct potable reuse is a promising practice </w:t>
      </w:r>
      <w:r w:rsidR="00E81269">
        <w:t>to tackle water scarcity by</w:t>
      </w:r>
      <w:r>
        <w:t xml:space="preserve"> treating wastewater to potable quality and introducing this directly into the distribution system (Treated Water Augmentation).</w:t>
      </w:r>
      <w:r>
        <w:rPr>
          <w:vertAlign w:val="superscript"/>
        </w:rPr>
        <w:t xml:space="preserve">1 </w:t>
      </w:r>
      <w:r>
        <w:t xml:space="preserve">However, </w:t>
      </w:r>
      <w:r w:rsidR="00E81269">
        <w:t xml:space="preserve">there is a knowledge gap regarding how this </w:t>
      </w:r>
      <w:r>
        <w:t>advanced treated wastewater</w:t>
      </w:r>
      <w:r w:rsidR="00E81269">
        <w:t xml:space="preserve"> (ATW) will affect the microbial communities in our pipe</w:t>
      </w:r>
      <w:r w:rsidR="00916B30">
        <w:t xml:space="preserve"> systems</w:t>
      </w:r>
      <w:r w:rsidR="00E81269">
        <w:t xml:space="preserve">. Opportunistic pathogens can grow in drinking water pipe biofilms and can detach or migrate into the bulk flow towards residents. Introducing a unique source water may </w:t>
      </w:r>
      <w:r>
        <w:t xml:space="preserve">disturb </w:t>
      </w:r>
      <w:r w:rsidR="00E81269">
        <w:t>these</w:t>
      </w:r>
      <w:r>
        <w:t xml:space="preserve"> microbial communities or present a new ecological niche.</w:t>
      </w:r>
      <w:r w:rsidRPr="00030887">
        <w:rPr>
          <w:vertAlign w:val="superscript"/>
        </w:rPr>
        <w:t>2</w:t>
      </w:r>
      <w:r w:rsidR="00916B30" w:rsidRPr="00030887">
        <w:rPr>
          <w:vertAlign w:val="superscript"/>
        </w:rPr>
        <w:t>-</w:t>
      </w:r>
      <w:r w:rsidR="006811B2" w:rsidRPr="00030887">
        <w:rPr>
          <w:vertAlign w:val="superscript"/>
        </w:rPr>
        <w:t>4</w:t>
      </w:r>
      <w:r>
        <w:rPr>
          <w:vertAlign w:val="superscript"/>
        </w:rPr>
        <w:t xml:space="preserve"> </w:t>
      </w:r>
      <w:r w:rsidR="00B4141B">
        <w:t>Disinfectant</w:t>
      </w:r>
      <w:r w:rsidR="006811B2" w:rsidRPr="006811B2">
        <w:t xml:space="preserve"> residual </w:t>
      </w:r>
      <w:r w:rsidR="00916B30">
        <w:t xml:space="preserve">is </w:t>
      </w:r>
      <w:r w:rsidR="006811B2" w:rsidRPr="006811B2">
        <w:t>not guaranteed to control exposure to opportunistic pathogens</w:t>
      </w:r>
      <w:r w:rsidR="006811B2" w:rsidRPr="006811B2">
        <w:rPr>
          <w:vertAlign w:val="superscript"/>
        </w:rPr>
        <w:t>5</w:t>
      </w:r>
      <w:r w:rsidR="006811B2">
        <w:t xml:space="preserve"> </w:t>
      </w:r>
      <w:r w:rsidR="00B4141B">
        <w:t>and can cause nitrification and disinfection by</w:t>
      </w:r>
      <w:r w:rsidR="00135B77">
        <w:t>-</w:t>
      </w:r>
      <w:r w:rsidR="00B4141B">
        <w:t>products that are toxic to humans. A</w:t>
      </w:r>
      <w:r w:rsidR="006811B2" w:rsidRPr="006811B2">
        <w:t>n alternative is to create microbiologically stable drinking water before distribution, such that further growth is not supported.</w:t>
      </w:r>
      <w:r w:rsidR="006811B2" w:rsidRPr="00030887">
        <w:rPr>
          <w:vertAlign w:val="superscript"/>
        </w:rPr>
        <w:t>3,6</w:t>
      </w:r>
      <w:r w:rsidR="006811B2" w:rsidRPr="006811B2">
        <w:t xml:space="preserve"> This concept is known as biostability and is achieved through two main conditions: 1) limited nutrient availability to limit bacterial regrowth including opportunistic pathogens;</w:t>
      </w:r>
      <w:r w:rsidR="006811B2" w:rsidRPr="006811B2">
        <w:rPr>
          <w:vertAlign w:val="superscript"/>
        </w:rPr>
        <w:t xml:space="preserve"> </w:t>
      </w:r>
      <w:r w:rsidR="006811B2" w:rsidRPr="006811B2">
        <w:t> and 2) a bacterial load close to the carrying capacity of the water such that it is not susceptible to invasion.</w:t>
      </w:r>
      <w:r w:rsidR="006811B2" w:rsidRPr="006811B2">
        <w:rPr>
          <w:vertAlign w:val="superscript"/>
        </w:rPr>
        <w:t>3</w:t>
      </w:r>
      <w:r w:rsidR="006811B2" w:rsidRPr="006811B2">
        <w:t xml:space="preserve"> Water treated through advanced methods should meet condition 1 but may not meet condition 2. In essence, highly purified water may be too clean and prone to microbial invasion and regrowth. </w:t>
      </w:r>
      <w:r w:rsidR="00B4141B">
        <w:t>Biological activated carbon (BAC) filters have been shown to influence downstream microbial community structure and growth.</w:t>
      </w:r>
      <w:r w:rsidR="00135B77">
        <w:rPr>
          <w:vertAlign w:val="superscript"/>
        </w:rPr>
        <w:t>7,8</w:t>
      </w:r>
      <w:r w:rsidR="00B4141B">
        <w:t xml:space="preserve"> Thus a BAC filter could be engineered to seed ATW with a commensal </w:t>
      </w:r>
      <w:r w:rsidR="00135B77">
        <w:t xml:space="preserve">microbial </w:t>
      </w:r>
      <w:r w:rsidR="00B4141B">
        <w:t xml:space="preserve">community close to the carrying capacity to control growth and offer robustness to pathogens. </w:t>
      </w:r>
    </w:p>
    <w:p w14:paraId="32054956" w14:textId="142798C7" w:rsidR="006811B2" w:rsidRDefault="006811B2" w:rsidP="006811B2">
      <w:pPr>
        <w:pStyle w:val="ListBullet"/>
        <w:numPr>
          <w:ilvl w:val="0"/>
          <w:numId w:val="0"/>
        </w:numPr>
        <w:spacing w:line="240" w:lineRule="auto"/>
      </w:pPr>
      <w:r w:rsidRPr="006811B2">
        <w:t xml:space="preserve">The overall aim of this research project is to raise awareness of </w:t>
      </w:r>
      <w:r w:rsidR="00B4141B">
        <w:t>the</w:t>
      </w:r>
      <w:r w:rsidRPr="006811B2">
        <w:t xml:space="preserve"> potential </w:t>
      </w:r>
      <w:r w:rsidR="00B4141B">
        <w:t>biological instability of ATW</w:t>
      </w:r>
      <w:r>
        <w:t xml:space="preserve"> </w:t>
      </w:r>
      <w:r w:rsidRPr="006811B2">
        <w:t>and</w:t>
      </w:r>
      <w:r w:rsidR="00B4141B">
        <w:t xml:space="preserve"> </w:t>
      </w:r>
      <w:r w:rsidR="00E81269">
        <w:t xml:space="preserve">evaluate the safety and effectiveness of using biological filtration to “seed” ATW and produce biostable water. </w:t>
      </w:r>
      <w:r w:rsidRPr="006811B2">
        <w:t xml:space="preserve">For this project I </w:t>
      </w:r>
      <w:r w:rsidR="00B4141B">
        <w:t>had</w:t>
      </w:r>
      <w:r w:rsidRPr="006811B2">
        <w:t xml:space="preserve"> three main hypotheses: 1) advanced treated wastewater is not biostable in simulated drinking water distribution systems, 2) a BAC filter seeds downstream advanced treated </w:t>
      </w:r>
      <w:r w:rsidR="00135B77">
        <w:t>waste</w:t>
      </w:r>
      <w:r w:rsidRPr="006811B2">
        <w:t>water with similar microbial communities, and 3) the biostability of advanced treated wastewater is increased by seeding with a BAC filter prior to introduction to simulated distribution systems. </w:t>
      </w:r>
      <w:r w:rsidR="00B4141B">
        <w:t xml:space="preserve"> </w:t>
      </w:r>
      <w:r w:rsidRPr="006811B2">
        <w:t xml:space="preserve">Through </w:t>
      </w:r>
      <w:r w:rsidR="00B4141B">
        <w:t>this</w:t>
      </w:r>
      <w:r w:rsidRPr="006811B2">
        <w:t xml:space="preserve"> research I seek to emphasize the importance of considering </w:t>
      </w:r>
      <w:r w:rsidR="00B4141B" w:rsidRPr="006811B2">
        <w:t>the microbiological</w:t>
      </w:r>
      <w:r w:rsidRPr="006811B2">
        <w:t xml:space="preserve"> safety of water at all points of distribution not just at the treatment plant effluent.</w:t>
      </w:r>
      <w:r>
        <w:t xml:space="preserve"> </w:t>
      </w:r>
      <w:r w:rsidR="00B4141B">
        <w:t>Additionally,</w:t>
      </w:r>
      <w:r w:rsidRPr="006811B2">
        <w:t xml:space="preserve"> </w:t>
      </w:r>
      <w:r w:rsidR="00B4141B">
        <w:t>this project</w:t>
      </w:r>
      <w:r w:rsidRPr="006811B2">
        <w:t xml:space="preserve"> addresses a first step proof of concept that biofiltration can seed highly purified water</w:t>
      </w:r>
      <w:r w:rsidR="00B4141B">
        <w:t xml:space="preserve"> and </w:t>
      </w:r>
      <w:r w:rsidR="008B536F">
        <w:t>potentially</w:t>
      </w:r>
      <w:r w:rsidR="00B4141B">
        <w:t xml:space="preserve"> provide </w:t>
      </w:r>
      <w:r w:rsidRPr="006811B2">
        <w:t>some of the first evidence of engineering the biostability of drinking water through a biofilter.</w:t>
      </w:r>
    </w:p>
    <w:p w14:paraId="15D3F40F" w14:textId="77777777" w:rsidR="00B4141B" w:rsidRPr="00C25253" w:rsidRDefault="00B4141B" w:rsidP="006811B2">
      <w:pPr>
        <w:pStyle w:val="ListBullet"/>
        <w:numPr>
          <w:ilvl w:val="0"/>
          <w:numId w:val="0"/>
        </w:numPr>
        <w:spacing w:line="240" w:lineRule="auto"/>
      </w:pPr>
    </w:p>
    <w:p w14:paraId="53A445A4" w14:textId="77777777" w:rsidR="007245F3" w:rsidRDefault="007245F3" w:rsidP="007245F3">
      <w:pPr>
        <w:pStyle w:val="Heading3"/>
      </w:pPr>
      <w:r>
        <w:lastRenderedPageBreak/>
        <w:t>Progress to Date</w:t>
      </w:r>
    </w:p>
    <w:p w14:paraId="07ED6F99" w14:textId="77777777" w:rsidR="007245F3" w:rsidRDefault="00607ADA" w:rsidP="00B4141B">
      <w:pPr>
        <w:pStyle w:val="ListBullet"/>
        <w:numPr>
          <w:ilvl w:val="0"/>
          <w:numId w:val="0"/>
        </w:numPr>
        <w:spacing w:line="240" w:lineRule="auto"/>
        <w:ind w:left="360" w:hanging="360"/>
      </w:pPr>
      <w:r>
        <w:t>Experimental Design</w:t>
      </w:r>
    </w:p>
    <w:p w14:paraId="20E7AC18" w14:textId="251937FE" w:rsidR="004478CA" w:rsidRDefault="00B4141B" w:rsidP="004478CA">
      <w:pPr>
        <w:pStyle w:val="ListBullet"/>
        <w:numPr>
          <w:ilvl w:val="0"/>
          <w:numId w:val="0"/>
        </w:numPr>
        <w:spacing w:line="240" w:lineRule="auto"/>
      </w:pPr>
      <w:r>
        <w:rPr>
          <w:color w:val="000000"/>
        </w:rPr>
        <w:t xml:space="preserve">A total of six benchtop annular reactors were used to simulate </w:t>
      </w:r>
      <w:r w:rsidR="00901EF2">
        <w:rPr>
          <w:color w:val="000000"/>
        </w:rPr>
        <w:t xml:space="preserve">drinking water </w:t>
      </w:r>
      <w:r>
        <w:rPr>
          <w:color w:val="000000"/>
        </w:rPr>
        <w:t>distribution systems. The reactors were conditioned with tap water for 8 weeks. Separately, a BAC filtration column was inoculated with anthracite filter media from a drinking water plant. It was then conditioned with tap water for 24 weeks to develop a robust</w:t>
      </w:r>
      <w:r w:rsidR="00901EF2">
        <w:rPr>
          <w:color w:val="000000"/>
        </w:rPr>
        <w:t>,</w:t>
      </w:r>
      <w:r>
        <w:rPr>
          <w:color w:val="000000"/>
        </w:rPr>
        <w:t xml:space="preserve"> </w:t>
      </w:r>
      <w:proofErr w:type="gramStart"/>
      <w:r>
        <w:rPr>
          <w:color w:val="000000"/>
        </w:rPr>
        <w:t>naturally</w:t>
      </w:r>
      <w:r w:rsidR="00901EF2">
        <w:rPr>
          <w:color w:val="000000"/>
        </w:rPr>
        <w:t>-</w:t>
      </w:r>
      <w:r>
        <w:rPr>
          <w:color w:val="000000"/>
        </w:rPr>
        <w:t>present</w:t>
      </w:r>
      <w:proofErr w:type="gramEnd"/>
      <w:r>
        <w:rPr>
          <w:color w:val="000000"/>
        </w:rPr>
        <w:t>, commensal microbial community. After conditioning, replicate reactors were fed for 8 weeks with tap water, advanced</w:t>
      </w:r>
      <w:r w:rsidR="00901EF2">
        <w:rPr>
          <w:color w:val="000000"/>
        </w:rPr>
        <w:t xml:space="preserve"> </w:t>
      </w:r>
      <w:r>
        <w:rPr>
          <w:color w:val="000000"/>
        </w:rPr>
        <w:t>treated wastewater, or advanced</w:t>
      </w:r>
      <w:r w:rsidR="00901EF2">
        <w:rPr>
          <w:color w:val="000000"/>
        </w:rPr>
        <w:t xml:space="preserve"> </w:t>
      </w:r>
      <w:r>
        <w:rPr>
          <w:color w:val="000000"/>
        </w:rPr>
        <w:t>treated wastewater passed through the BAC column. Advanced treated wastewater was sourced from a facility which processes nitrified, secondary-treated wastewater through microfiltration and reverse osmosis. This water was later adjusted for pH and re</w:t>
      </w:r>
      <w:r w:rsidR="00901EF2">
        <w:rPr>
          <w:color w:val="000000"/>
        </w:rPr>
        <w:t>-</w:t>
      </w:r>
      <w:r>
        <w:rPr>
          <w:color w:val="000000"/>
        </w:rPr>
        <w:t xml:space="preserve">mineralized in lab. The feed waters were dechlorinated to allow for maximum growth and remove the variable of disinfectant concentration. Samples of bulk water and biofilm from the annular reactors and their </w:t>
      </w:r>
      <w:proofErr w:type="gramStart"/>
      <w:r>
        <w:rPr>
          <w:color w:val="000000"/>
        </w:rPr>
        <w:t>influents</w:t>
      </w:r>
      <w:proofErr w:type="gramEnd"/>
      <w:r>
        <w:rPr>
          <w:color w:val="000000"/>
        </w:rPr>
        <w:t xml:space="preserve"> were taken at </w:t>
      </w:r>
      <w:r w:rsidR="00901EF2">
        <w:rPr>
          <w:color w:val="000000"/>
        </w:rPr>
        <w:t>3</w:t>
      </w:r>
      <w:r>
        <w:rPr>
          <w:color w:val="000000"/>
        </w:rPr>
        <w:t xml:space="preserve"> sample points before</w:t>
      </w:r>
      <w:r w:rsidR="00E52B21">
        <w:rPr>
          <w:color w:val="000000"/>
        </w:rPr>
        <w:t xml:space="preserve"> and 6 after</w:t>
      </w:r>
      <w:r>
        <w:rPr>
          <w:color w:val="000000"/>
        </w:rPr>
        <w:t xml:space="preserve"> the transition </w:t>
      </w:r>
      <w:r w:rsidR="00901EF2">
        <w:rPr>
          <w:color w:val="000000"/>
        </w:rPr>
        <w:t>to the respective source waters</w:t>
      </w:r>
      <w:r w:rsidR="00853C49">
        <w:rPr>
          <w:color w:val="000000"/>
        </w:rPr>
        <w:t xml:space="preserve">. Bulk water samples and homogenized biofilm samples were </w:t>
      </w:r>
      <w:r>
        <w:rPr>
          <w:color w:val="000000"/>
        </w:rPr>
        <w:t xml:space="preserve">then passed through a 0.22 </w:t>
      </w:r>
      <w:proofErr w:type="spellStart"/>
      <w:r>
        <w:rPr>
          <w:rFonts w:ascii="Calibri" w:hAnsi="Calibri" w:cs="Calibri"/>
          <w:color w:val="000000"/>
        </w:rPr>
        <w:t>μ</w:t>
      </w:r>
      <w:r>
        <w:rPr>
          <w:color w:val="000000"/>
        </w:rPr>
        <w:t>m</w:t>
      </w:r>
      <w:proofErr w:type="spellEnd"/>
      <w:r>
        <w:rPr>
          <w:color w:val="000000"/>
        </w:rPr>
        <w:t xml:space="preserve"> filter before storage at -80</w:t>
      </w:r>
      <w:r>
        <w:rPr>
          <w:rFonts w:ascii="Tw Cen MT" w:hAnsi="Tw Cen MT" w:cs="Tw Cen MT"/>
          <w:color w:val="000000"/>
        </w:rPr>
        <w:t>°</w:t>
      </w:r>
      <w:r>
        <w:rPr>
          <w:color w:val="000000"/>
        </w:rPr>
        <w:t>C.</w:t>
      </w:r>
    </w:p>
    <w:p w14:paraId="3ADEFA0D" w14:textId="77777777" w:rsidR="00607ADA" w:rsidRDefault="00607ADA" w:rsidP="00B4141B">
      <w:pPr>
        <w:pStyle w:val="ListBullet"/>
        <w:numPr>
          <w:ilvl w:val="0"/>
          <w:numId w:val="0"/>
        </w:numPr>
        <w:spacing w:line="240" w:lineRule="auto"/>
        <w:ind w:left="360" w:hanging="360"/>
      </w:pPr>
      <w:r>
        <w:t>Data Collection and Analysis</w:t>
      </w:r>
    </w:p>
    <w:p w14:paraId="189C91DA" w14:textId="59FB3F5B" w:rsidR="00B4141B" w:rsidRPr="00030887" w:rsidRDefault="00B4141B" w:rsidP="00B4141B">
      <w:pPr>
        <w:pStyle w:val="ListBullet"/>
        <w:numPr>
          <w:ilvl w:val="0"/>
          <w:numId w:val="0"/>
        </w:numPr>
        <w:spacing w:line="240" w:lineRule="auto"/>
        <w:rPr>
          <w:color w:val="000000"/>
        </w:rPr>
      </w:pPr>
      <w:r>
        <w:rPr>
          <w:color w:val="000000"/>
        </w:rPr>
        <w:t>Biostability of drinking water systems is assessed using a multi-parametric approac</w:t>
      </w:r>
      <w:r w:rsidRPr="00030887">
        <w:rPr>
          <w:color w:val="000000"/>
        </w:rPr>
        <w:t>h</w:t>
      </w:r>
      <w:r w:rsidR="00030887" w:rsidRPr="00030887">
        <w:rPr>
          <w:color w:val="000000"/>
          <w:vertAlign w:val="superscript"/>
        </w:rPr>
        <w:t>9</w:t>
      </w:r>
      <w:r w:rsidR="00030887">
        <w:rPr>
          <w:color w:val="000000"/>
          <w:sz w:val="14"/>
          <w:szCs w:val="14"/>
        </w:rPr>
        <w:t xml:space="preserve"> </w:t>
      </w:r>
      <w:r>
        <w:rPr>
          <w:color w:val="000000"/>
        </w:rPr>
        <w:t xml:space="preserve">and consists of relatively stable microbial growth, absent opportunistic pathogen concentrations, and relatively stable community structure. The conditioning phase is used to establish a baseline for these measurements and the acceptable degree of change for these measurements in the experimental phase will be empirically calculated, such that a change outside the bounds indicates biological instability. During the experiment, I measured the usual water quality parameters of temperature, pH, and free and total chlorine. I also used flow cytometry to measure cell counts and adenosine triphosphate </w:t>
      </w:r>
      <w:r w:rsidR="001C78EE">
        <w:rPr>
          <w:color w:val="000000"/>
        </w:rPr>
        <w:t>(</w:t>
      </w:r>
      <w:r>
        <w:rPr>
          <w:color w:val="000000"/>
        </w:rPr>
        <w:t>ATP</w:t>
      </w:r>
      <w:r w:rsidR="001C78EE">
        <w:rPr>
          <w:color w:val="000000"/>
        </w:rPr>
        <w:t>)</w:t>
      </w:r>
      <w:r>
        <w:rPr>
          <w:color w:val="000000"/>
        </w:rPr>
        <w:t xml:space="preserve"> analysis to measure cell activity as metrics for cell growth. DNA </w:t>
      </w:r>
      <w:r w:rsidR="00404BA2">
        <w:rPr>
          <w:color w:val="000000"/>
        </w:rPr>
        <w:t xml:space="preserve">was extracted </w:t>
      </w:r>
      <w:r>
        <w:rPr>
          <w:color w:val="000000"/>
        </w:rPr>
        <w:t xml:space="preserve">from the archived samples using a modified </w:t>
      </w:r>
      <w:proofErr w:type="spellStart"/>
      <w:r>
        <w:rPr>
          <w:color w:val="000000"/>
        </w:rPr>
        <w:t>DNeasy</w:t>
      </w:r>
      <w:proofErr w:type="spellEnd"/>
      <w:r>
        <w:rPr>
          <w:color w:val="000000"/>
        </w:rPr>
        <w:t xml:space="preserve"> </w:t>
      </w:r>
      <w:proofErr w:type="spellStart"/>
      <w:r>
        <w:rPr>
          <w:color w:val="000000"/>
        </w:rPr>
        <w:t>PowerWater</w:t>
      </w:r>
      <w:proofErr w:type="spellEnd"/>
      <w:r>
        <w:rPr>
          <w:color w:val="000000"/>
        </w:rPr>
        <w:t xml:space="preserve"> protocol to process them for downstream molecular work</w:t>
      </w:r>
      <w:r w:rsidR="00030887">
        <w:rPr>
          <w:color w:val="000000"/>
        </w:rPr>
        <w:t>.</w:t>
      </w:r>
      <w:r w:rsidR="00030887" w:rsidRPr="00030887">
        <w:rPr>
          <w:color w:val="000000"/>
          <w:vertAlign w:val="superscript"/>
        </w:rPr>
        <w:t>10</w:t>
      </w:r>
      <w:r w:rsidR="00030887">
        <w:rPr>
          <w:color w:val="000000"/>
        </w:rPr>
        <w:t xml:space="preserve"> </w:t>
      </w:r>
      <w:r w:rsidR="003501C6">
        <w:rPr>
          <w:color w:val="000000"/>
        </w:rPr>
        <w:t>16S rRNA library preparation and Illumina sequencing</w:t>
      </w:r>
      <w:r w:rsidR="000E5981">
        <w:rPr>
          <w:color w:val="000000"/>
        </w:rPr>
        <w:t xml:space="preserve"> was then performed to determine microbial community structure and taxonomy.</w:t>
      </w:r>
    </w:p>
    <w:p w14:paraId="014356E9" w14:textId="7F46A29C" w:rsidR="00607ADA" w:rsidRDefault="00607ADA" w:rsidP="00B4141B">
      <w:pPr>
        <w:pStyle w:val="ListBullet"/>
        <w:numPr>
          <w:ilvl w:val="0"/>
          <w:numId w:val="0"/>
        </w:numPr>
        <w:spacing w:line="240" w:lineRule="auto"/>
        <w:ind w:left="360" w:hanging="360"/>
      </w:pPr>
      <w:r>
        <w:t>Discussion of Results</w:t>
      </w:r>
    </w:p>
    <w:p w14:paraId="35703BD5" w14:textId="1CDF73D2" w:rsidR="00472BD0" w:rsidRDefault="00472BD0" w:rsidP="00472BD0">
      <w:pPr>
        <w:pStyle w:val="ListBullet"/>
        <w:numPr>
          <w:ilvl w:val="0"/>
          <w:numId w:val="0"/>
        </w:numPr>
        <w:spacing w:line="240" w:lineRule="auto"/>
      </w:pPr>
      <w:r>
        <w:t>The results of the microbial growth data (flow cytometry and ATP analysis) showed that the ATW reactors bulk water</w:t>
      </w:r>
      <w:r w:rsidR="001C78EE">
        <w:t xml:space="preserve"> samples </w:t>
      </w:r>
      <w:r>
        <w:t>generally</w:t>
      </w:r>
      <w:r w:rsidR="001C78EE">
        <w:t xml:space="preserve"> had</w:t>
      </w:r>
      <w:r>
        <w:t xml:space="preserve"> lower cell counts and ATP concentrations </w:t>
      </w:r>
      <w:r w:rsidR="00131DFB">
        <w:t xml:space="preserve">compared to the other reactors and </w:t>
      </w:r>
      <w:r w:rsidR="001C78EE">
        <w:t xml:space="preserve">conditioning </w:t>
      </w:r>
      <w:r w:rsidR="00131DFB">
        <w:t xml:space="preserve">phase samples, </w:t>
      </w:r>
      <w:r>
        <w:t xml:space="preserve">while the BAC filter effluent (BFE) reactors and tap water reactors had similar values. The biofilm samples from the reactors showed similar trends for intracellular and total ATP and intact cell counts. </w:t>
      </w:r>
      <w:proofErr w:type="gramStart"/>
      <w:r w:rsidR="00FA26EC">
        <w:t>Moreover</w:t>
      </w:r>
      <w:proofErr w:type="gramEnd"/>
      <w:r w:rsidR="00FA26EC">
        <w:t xml:space="preserve"> the ATP and flow cytometry results followed similar trends showing that they were indeed appropriate as redundant measurements of microbial growth. </w:t>
      </w:r>
      <w:r>
        <w:t xml:space="preserve">An interesting result was that over the </w:t>
      </w:r>
      <w:r w:rsidR="0033387E">
        <w:t>8-week</w:t>
      </w:r>
      <w:r>
        <w:t xml:space="preserve"> experimental period, these microbial growth data were highly variable instead of consistently increasing over the </w:t>
      </w:r>
      <w:proofErr w:type="gramStart"/>
      <w:r>
        <w:t>time period</w:t>
      </w:r>
      <w:proofErr w:type="gramEnd"/>
      <w:r>
        <w:t xml:space="preserve">. This seems to indicate a certain biostability and carrying capacity was reached. </w:t>
      </w:r>
      <w:r w:rsidR="0033387E">
        <w:t xml:space="preserve">In the case of the ATW reactors, this carrying capacity was </w:t>
      </w:r>
      <w:r w:rsidR="000E5981">
        <w:t>lower</w:t>
      </w:r>
      <w:r w:rsidR="0033387E">
        <w:t xml:space="preserve">. </w:t>
      </w:r>
      <w:r w:rsidR="00FA26EC">
        <w:t xml:space="preserve">A sudden decrease in the water’s carrying capacity would likely result in microbial die-off, a release of nutrients, and necrotrophic growth. </w:t>
      </w:r>
      <w:r w:rsidR="00131DFB">
        <w:t xml:space="preserve">This would be seen by an increase in non-intact cell counts. </w:t>
      </w:r>
      <w:r w:rsidR="00FA26EC">
        <w:t xml:space="preserve">However, no such effect was observed in the immediate transition of the source waters. </w:t>
      </w:r>
      <w:r w:rsidR="00131DFB">
        <w:t>Therefore, with these data it is difficult to say with certainty whether the ATW reactors were biologically unstable. On the other hand</w:t>
      </w:r>
      <w:r w:rsidR="001C78EE">
        <w:t>,</w:t>
      </w:r>
      <w:r w:rsidR="00131DFB">
        <w:t xml:space="preserve"> the variable but stable growth of the BFE reactors </w:t>
      </w:r>
      <w:proofErr w:type="gramStart"/>
      <w:r w:rsidR="00131DFB">
        <w:t>similar to</w:t>
      </w:r>
      <w:proofErr w:type="gramEnd"/>
      <w:r w:rsidR="00131DFB">
        <w:t xml:space="preserve"> the tap reactors and </w:t>
      </w:r>
      <w:r w:rsidR="001C78EE">
        <w:t xml:space="preserve">conditioning </w:t>
      </w:r>
      <w:r w:rsidR="00131DFB">
        <w:t>phase samples indicates that a biofilter could offer some degree of biostability.</w:t>
      </w:r>
    </w:p>
    <w:p w14:paraId="475F838D" w14:textId="63A85D7B" w:rsidR="00E85BDD" w:rsidRDefault="00472BD0" w:rsidP="00472BD0">
      <w:pPr>
        <w:pStyle w:val="ListBullet"/>
        <w:numPr>
          <w:ilvl w:val="0"/>
          <w:numId w:val="0"/>
        </w:numPr>
        <w:spacing w:line="240" w:lineRule="auto"/>
      </w:pPr>
      <w:r>
        <w:t xml:space="preserve">An important point note was that there was often higher cell counts and ATP concentrations in the feed waters (except for in the case of the ATW reactors) given that they were pumped and mixed into a secondary container alongside sodium thiosulfate to dechlorinate before being pumped </w:t>
      </w:r>
      <w:r w:rsidR="0033387E">
        <w:t>into</w:t>
      </w:r>
      <w:r>
        <w:t xml:space="preserve"> the reactors. </w:t>
      </w:r>
      <w:r w:rsidR="00E85BDD">
        <w:t xml:space="preserve">However, an initial microbial growth in the feed water container makes sense considering the long journey through the pump tubing into the reactors with a long hydraulic residence time of 24 hours before being sampled at the effluent. </w:t>
      </w:r>
      <w:r w:rsidR="000E5981">
        <w:t>The author hypothesize</w:t>
      </w:r>
      <w:r w:rsidR="001C78EE">
        <w:t>s</w:t>
      </w:r>
      <w:r w:rsidR="000E5981">
        <w:t xml:space="preserve"> that t</w:t>
      </w:r>
      <w:r w:rsidR="00E85BDD">
        <w:t>he more bioavailable nutrients were simply used up first</w:t>
      </w:r>
      <w:r w:rsidR="001C78EE">
        <w:t>,</w:t>
      </w:r>
      <w:r w:rsidR="00E85BDD">
        <w:t xml:space="preserve"> causing this initial spike. While this experimental design was not ideal, it is still the best representation available of water being pumped through a distribution system. </w:t>
      </w:r>
    </w:p>
    <w:p w14:paraId="68C3E358" w14:textId="6957EA2D" w:rsidR="00131DFB" w:rsidRDefault="003B4C03" w:rsidP="001814E6">
      <w:pPr>
        <w:pStyle w:val="ListBullet"/>
        <w:numPr>
          <w:ilvl w:val="0"/>
          <w:numId w:val="0"/>
        </w:numPr>
        <w:spacing w:line="240" w:lineRule="auto"/>
      </w:pPr>
      <w:r>
        <w:lastRenderedPageBreak/>
        <w:t xml:space="preserve">From the 16S sequencing data the </w:t>
      </w:r>
      <w:r w:rsidR="00131DFB">
        <w:t xml:space="preserve">potential opportunistic pathogens genera of </w:t>
      </w:r>
      <w:r w:rsidR="00131DFB" w:rsidRPr="00131DFB">
        <w:rPr>
          <w:i/>
          <w:iCs/>
        </w:rPr>
        <w:t>Legionella</w:t>
      </w:r>
      <w:r w:rsidR="00131DFB">
        <w:t xml:space="preserve">, </w:t>
      </w:r>
      <w:r w:rsidR="00131DFB">
        <w:rPr>
          <w:i/>
          <w:iCs/>
        </w:rPr>
        <w:t>Mycobacterium</w:t>
      </w:r>
      <w:r w:rsidR="00131DFB">
        <w:t xml:space="preserve">, and </w:t>
      </w:r>
      <w:r w:rsidR="00131DFB">
        <w:rPr>
          <w:i/>
          <w:iCs/>
        </w:rPr>
        <w:t>Pseudomonas</w:t>
      </w:r>
      <w:r w:rsidR="00131DFB">
        <w:t xml:space="preserve"> were identified alongside the ammonia oxidizing bacteria </w:t>
      </w:r>
      <w:r w:rsidR="00131DFB">
        <w:rPr>
          <w:i/>
          <w:iCs/>
        </w:rPr>
        <w:t>Nitrosomonas</w:t>
      </w:r>
      <w:r w:rsidR="00131DFB">
        <w:t xml:space="preserve">. </w:t>
      </w:r>
      <w:r w:rsidR="00131DFB" w:rsidRPr="001C78EE">
        <w:rPr>
          <w:i/>
          <w:iCs/>
        </w:rPr>
        <w:t>Mycobacterium</w:t>
      </w:r>
      <w:r w:rsidR="00131DFB">
        <w:t xml:space="preserve">, </w:t>
      </w:r>
      <w:r w:rsidR="00131DFB">
        <w:rPr>
          <w:i/>
          <w:iCs/>
        </w:rPr>
        <w:t>Legionella</w:t>
      </w:r>
      <w:r w:rsidR="00131DFB">
        <w:rPr>
          <w:i/>
          <w:iCs/>
        </w:rPr>
        <w:t xml:space="preserve">, </w:t>
      </w:r>
      <w:r w:rsidR="00131DFB" w:rsidRPr="00131DFB">
        <w:t>and</w:t>
      </w:r>
      <w:r w:rsidR="00131DFB">
        <w:t xml:space="preserve"> </w:t>
      </w:r>
      <w:r w:rsidR="00131DFB">
        <w:rPr>
          <w:i/>
          <w:iCs/>
        </w:rPr>
        <w:t>Nitrosomonas</w:t>
      </w:r>
      <w:r w:rsidR="00131DFB">
        <w:rPr>
          <w:i/>
          <w:iCs/>
        </w:rPr>
        <w:t xml:space="preserve"> </w:t>
      </w:r>
      <w:r w:rsidR="00131DFB">
        <w:t xml:space="preserve">genera never reached above 1% relative abundance during the experimental period and </w:t>
      </w:r>
      <w:proofErr w:type="gramStart"/>
      <w:r w:rsidR="001C78EE">
        <w:t>are</w:t>
      </w:r>
      <w:proofErr w:type="gramEnd"/>
      <w:r w:rsidR="001C78EE">
        <w:t xml:space="preserve"> thus</w:t>
      </w:r>
      <w:r w:rsidR="00131DFB">
        <w:t xml:space="preserve"> not considered during the preliminary analyses. The </w:t>
      </w:r>
      <w:r w:rsidR="00131DFB">
        <w:rPr>
          <w:i/>
          <w:iCs/>
        </w:rPr>
        <w:t>Ps</w:t>
      </w:r>
      <w:r w:rsidR="00131DFB">
        <w:rPr>
          <w:i/>
          <w:iCs/>
        </w:rPr>
        <w:t>eu</w:t>
      </w:r>
      <w:r w:rsidR="00131DFB">
        <w:rPr>
          <w:i/>
          <w:iCs/>
        </w:rPr>
        <w:t>domonas</w:t>
      </w:r>
      <w:r w:rsidR="00131DFB">
        <w:rPr>
          <w:i/>
          <w:iCs/>
        </w:rPr>
        <w:t xml:space="preserve"> </w:t>
      </w:r>
      <w:r w:rsidR="00131DFB">
        <w:t>genus was positive above the threshold in two ATW reactor samples and one ATW feed sample. The most prominent species was identified</w:t>
      </w:r>
      <w:r w:rsidR="001C78EE">
        <w:t xml:space="preserve"> </w:t>
      </w:r>
      <w:r w:rsidR="001C78EE">
        <w:t>by the Silva database</w:t>
      </w:r>
      <w:r w:rsidR="002C3986">
        <w:rPr>
          <w:vertAlign w:val="superscript"/>
        </w:rPr>
        <w:t>11</w:t>
      </w:r>
      <w:r w:rsidR="00131DFB">
        <w:t xml:space="preserve"> as </w:t>
      </w:r>
      <w:r w:rsidR="00131DFB">
        <w:rPr>
          <w:i/>
          <w:iCs/>
        </w:rPr>
        <w:t>Ps</w:t>
      </w:r>
      <w:r w:rsidR="001C78EE">
        <w:rPr>
          <w:i/>
          <w:iCs/>
        </w:rPr>
        <w:t>eu</w:t>
      </w:r>
      <w:r w:rsidR="00131DFB">
        <w:rPr>
          <w:i/>
          <w:iCs/>
        </w:rPr>
        <w:t xml:space="preserve">domonas </w:t>
      </w:r>
      <w:proofErr w:type="spellStart"/>
      <w:r w:rsidR="00131DFB">
        <w:rPr>
          <w:i/>
          <w:iCs/>
        </w:rPr>
        <w:t>stutzeri</w:t>
      </w:r>
      <w:proofErr w:type="spellEnd"/>
      <w:r w:rsidR="00131DFB">
        <w:t>, an opportunistic pathogen. The presence of an opportunistic pathogen in the ATW reactor samples is a major indicator of biological instability while the absence in the BFE reactors is another promising piece of evidence that the biofilter is imparting biological stability to the ATW.</w:t>
      </w:r>
    </w:p>
    <w:p w14:paraId="118310FA" w14:textId="24331193" w:rsidR="001814E6" w:rsidRDefault="005C0EA9" w:rsidP="00AE0769">
      <w:pPr>
        <w:pStyle w:val="ListBullet"/>
        <w:numPr>
          <w:ilvl w:val="0"/>
          <w:numId w:val="0"/>
        </w:numPr>
        <w:spacing w:line="240" w:lineRule="auto"/>
      </w:pPr>
      <w:r>
        <w:t xml:space="preserve">Microbial communities with low diversity are less robust to invasion and regrowth. </w:t>
      </w:r>
      <w:r w:rsidR="007011C2">
        <w:t xml:space="preserve">The alpha diversity </w:t>
      </w:r>
      <w:r w:rsidR="00940EBF">
        <w:t xml:space="preserve">(measured by the Shannon diversity index) </w:t>
      </w:r>
      <w:r w:rsidR="00E03A48">
        <w:t xml:space="preserve">of the </w:t>
      </w:r>
      <w:r w:rsidR="00940EBF">
        <w:t xml:space="preserve">reactors bulk waters and biofilms are not significantly from one another. </w:t>
      </w:r>
      <w:r w:rsidR="00AF790E">
        <w:t>Notably the BFE reactor</w:t>
      </w:r>
      <w:r w:rsidR="00FF2CB2">
        <w:t xml:space="preserve"> effluents </w:t>
      </w:r>
      <w:r w:rsidR="00AF790E">
        <w:t xml:space="preserve">have </w:t>
      </w:r>
      <w:r w:rsidR="00FF2CB2">
        <w:t xml:space="preserve">significantly </w:t>
      </w:r>
      <w:r w:rsidR="00AF790E">
        <w:t>higher alpha diversity than the BAC media itself</w:t>
      </w:r>
      <w:r w:rsidR="00FF2CB2">
        <w:t xml:space="preserve">, </w:t>
      </w:r>
      <w:r w:rsidR="009D4263">
        <w:t xml:space="preserve">which in turn was higher than the ATW feed, </w:t>
      </w:r>
      <w:r w:rsidR="00FF2CB2">
        <w:t xml:space="preserve">indicating </w:t>
      </w:r>
      <w:r w:rsidR="001814E6">
        <w:t xml:space="preserve">the presence of a combination of filter and </w:t>
      </w:r>
      <w:r w:rsidR="009D4263">
        <w:t>filter-independent</w:t>
      </w:r>
      <w:r w:rsidR="001814E6">
        <w:t xml:space="preserve"> bacterial</w:t>
      </w:r>
      <w:r w:rsidR="009D4263">
        <w:t xml:space="preserve"> </w:t>
      </w:r>
      <w:r w:rsidR="001814E6">
        <w:t>taxa.</w:t>
      </w:r>
      <w:r>
        <w:t xml:space="preserve"> </w:t>
      </w:r>
      <w:r w:rsidR="001814E6">
        <w:t xml:space="preserve">Beta diversity </w:t>
      </w:r>
      <w:r w:rsidR="00AE0769">
        <w:t xml:space="preserve">ordination plots reveal that the three reactor types seem to overlap for their respective biofilm samples and then radiate out to their bulk water samples and finally their feed waters. This overlap may be indicative of the conditioning phase having a lasting effect on the biofilm stability and evidence of </w:t>
      </w:r>
      <w:r w:rsidR="00AE0769">
        <w:t>“historical contingency”</w:t>
      </w:r>
      <w:r w:rsidR="00C032A5">
        <w:t>.</w:t>
      </w:r>
      <w:r w:rsidR="00C032A5">
        <w:rPr>
          <w:vertAlign w:val="superscript"/>
        </w:rPr>
        <w:t>1</w:t>
      </w:r>
      <w:r w:rsidR="002C3986">
        <w:rPr>
          <w:vertAlign w:val="superscript"/>
        </w:rPr>
        <w:t>2</w:t>
      </w:r>
      <w:r w:rsidR="00C032A5">
        <w:t xml:space="preserve"> </w:t>
      </w:r>
      <w:r w:rsidR="00AE0769">
        <w:t xml:space="preserve">In the </w:t>
      </w:r>
      <w:r w:rsidR="00940EBF">
        <w:t>n</w:t>
      </w:r>
      <w:r w:rsidR="00AE0769" w:rsidRPr="00AE0769">
        <w:t xml:space="preserve">on-metric </w:t>
      </w:r>
      <w:r w:rsidR="00940EBF">
        <w:t>m</w:t>
      </w:r>
      <w:r w:rsidR="00AE0769" w:rsidRPr="00AE0769">
        <w:t>ulti-</w:t>
      </w:r>
      <w:r w:rsidR="00940EBF">
        <w:t>d</w:t>
      </w:r>
      <w:r w:rsidR="00AE0769" w:rsidRPr="00AE0769">
        <w:t xml:space="preserve">imensional </w:t>
      </w:r>
      <w:r w:rsidR="00940EBF">
        <w:t>s</w:t>
      </w:r>
      <w:r w:rsidR="00AE0769" w:rsidRPr="00AE0769">
        <w:t>caling</w:t>
      </w:r>
      <w:r w:rsidR="00AE0769">
        <w:t xml:space="preserve"> plot, the BAC samples separately out completely and the tap, ATW, and BFE bulk water and feed samples separate in different directions. For the </w:t>
      </w:r>
      <w:proofErr w:type="gramStart"/>
      <w:r w:rsidR="00940EBF">
        <w:t>p</w:t>
      </w:r>
      <w:r w:rsidR="00AE0769">
        <w:t>rinciple</w:t>
      </w:r>
      <w:proofErr w:type="gramEnd"/>
      <w:r w:rsidR="00AE0769">
        <w:t xml:space="preserve"> coordinate analysis plot </w:t>
      </w:r>
      <w:r w:rsidR="00AE0769" w:rsidRPr="00AE0769">
        <w:t>the BAC</w:t>
      </w:r>
      <w:r w:rsidR="00940EBF">
        <w:t xml:space="preserve"> media;</w:t>
      </w:r>
      <w:r w:rsidR="00AE0769" w:rsidRPr="00AE0769">
        <w:t xml:space="preserve"> </w:t>
      </w:r>
      <w:r w:rsidR="00940EBF">
        <w:t>t</w:t>
      </w:r>
      <w:r w:rsidR="00AE0769" w:rsidRPr="00AE0769">
        <w:t>ap</w:t>
      </w:r>
      <w:r w:rsidR="00940EBF">
        <w:t xml:space="preserve"> and </w:t>
      </w:r>
      <w:r w:rsidR="00AE0769" w:rsidRPr="00AE0769">
        <w:t>BFE</w:t>
      </w:r>
      <w:r w:rsidR="00940EBF">
        <w:t xml:space="preserve"> feeds</w:t>
      </w:r>
      <w:r w:rsidR="00AE0769" w:rsidRPr="00AE0769">
        <w:t>,</w:t>
      </w:r>
      <w:r w:rsidR="00940EBF">
        <w:t xml:space="preserve"> bulk waters, and biofilm samples;</w:t>
      </w:r>
      <w:r w:rsidR="00AE0769" w:rsidRPr="00AE0769">
        <w:t xml:space="preserve"> and ATW biofilm samples </w:t>
      </w:r>
      <w:r w:rsidR="00940EBF">
        <w:t xml:space="preserve">all overlap, </w:t>
      </w:r>
      <w:r w:rsidR="00AE0769" w:rsidRPr="00AE0769">
        <w:t>whereas the ATW bulk and feed samples separate out</w:t>
      </w:r>
      <w:r w:rsidR="00AE0769">
        <w:t>. In summary, t</w:t>
      </w:r>
      <w:r w:rsidR="00AE0769">
        <w:t>he BFE and tap samples</w:t>
      </w:r>
      <w:r w:rsidR="00AE0769">
        <w:t xml:space="preserve"> have</w:t>
      </w:r>
      <w:r w:rsidR="00AE0769">
        <w:t xml:space="preserve"> similar beta diversity according to </w:t>
      </w:r>
      <w:proofErr w:type="spellStart"/>
      <w:r w:rsidR="00AE0769">
        <w:t>PCoA</w:t>
      </w:r>
      <w:proofErr w:type="spellEnd"/>
      <w:r w:rsidR="00AE0769">
        <w:t xml:space="preserve"> but dissimilar according to NMDS.</w:t>
      </w:r>
      <w:r w:rsidR="00AE0769">
        <w:t xml:space="preserve"> In either case the ATW samples are distinct</w:t>
      </w:r>
      <w:r>
        <w:t xml:space="preserve">, showing evidence of biological instability, and the BAC samples are most </w:t>
      </w:r>
      <w:proofErr w:type="gramStart"/>
      <w:r w:rsidR="00940EBF">
        <w:t>similar</w:t>
      </w:r>
      <w:r>
        <w:t xml:space="preserve"> to</w:t>
      </w:r>
      <w:proofErr w:type="gramEnd"/>
      <w:r>
        <w:t xml:space="preserve"> the BFE feed and bulk water samples, showing evidence of biofiltration seeding. </w:t>
      </w:r>
    </w:p>
    <w:p w14:paraId="331E82CE" w14:textId="172773AE" w:rsidR="003B4C03" w:rsidRDefault="005C0EA9" w:rsidP="003B4C03">
      <w:pPr>
        <w:pStyle w:val="ListBullet"/>
        <w:numPr>
          <w:ilvl w:val="0"/>
          <w:numId w:val="0"/>
        </w:numPr>
        <w:spacing w:line="240" w:lineRule="auto"/>
      </w:pPr>
      <w:r>
        <w:t>Based on visual inspection</w:t>
      </w:r>
      <w:r w:rsidR="00940EBF">
        <w:t xml:space="preserve"> of </w:t>
      </w:r>
      <w:r>
        <w:t xml:space="preserve">the relative abundances of </w:t>
      </w:r>
      <w:r w:rsidR="00940EBF">
        <w:t xml:space="preserve">the amplicon sequence variants by family, </w:t>
      </w:r>
      <w:r>
        <w:t xml:space="preserve">the similarity of biofilm communities can be seen. </w:t>
      </w:r>
      <w:r w:rsidR="003B4C03">
        <w:t xml:space="preserve">Thiobacillus </w:t>
      </w:r>
      <w:r w:rsidR="003B4C03" w:rsidRPr="005C0EA9">
        <w:t xml:space="preserve">was enriched in all samples due to the addition of sodium </w:t>
      </w:r>
      <w:r w:rsidR="00EE6095" w:rsidRPr="005C0EA9">
        <w:t>thiosulfate</w:t>
      </w:r>
      <w:r w:rsidR="003B4C03" w:rsidRPr="005C0EA9">
        <w:t xml:space="preserve">. </w:t>
      </w:r>
      <w:r w:rsidRPr="005C0EA9">
        <w:t>Thus,</w:t>
      </w:r>
      <w:r w:rsidR="003B4C03" w:rsidRPr="005C0EA9">
        <w:t xml:space="preserve"> the community is not representative of typical drinking water microbial communities</w:t>
      </w:r>
      <w:r>
        <w:t>,</w:t>
      </w:r>
      <w:r w:rsidR="003B4C03" w:rsidRPr="005C0EA9">
        <w:t xml:space="preserve"> but </w:t>
      </w:r>
      <w:proofErr w:type="spellStart"/>
      <w:r w:rsidR="003B4C03" w:rsidRPr="005C0EA9">
        <w:t>dechlorination</w:t>
      </w:r>
      <w:proofErr w:type="spellEnd"/>
      <w:r w:rsidR="003B4C03" w:rsidRPr="005C0EA9">
        <w:t xml:space="preserve"> was essential to prevent </w:t>
      </w:r>
      <w:r>
        <w:t xml:space="preserve">large </w:t>
      </w:r>
      <w:r w:rsidR="003B4C03" w:rsidRPr="005C0EA9">
        <w:t>growth variability</w:t>
      </w:r>
      <w:r w:rsidR="00940EBF">
        <w:t xml:space="preserve"> in this experiment</w:t>
      </w:r>
      <w:r w:rsidR="003B4C03" w:rsidRPr="005C0EA9">
        <w:t xml:space="preserve">. </w:t>
      </w:r>
      <w:r>
        <w:t xml:space="preserve">Interestingly the BAC media community changed from its original sampling to more represent </w:t>
      </w:r>
      <w:r>
        <w:t>the</w:t>
      </w:r>
      <w:r>
        <w:t xml:space="preserve"> tap water it was being fed over the course of 6 months. </w:t>
      </w:r>
      <w:r>
        <w:t>More exact differential abundance analysis of taxa by feed water type and time using DESeq2 and SIMPER has yet to be performed.</w:t>
      </w:r>
      <w:r w:rsidR="00C032A5">
        <w:rPr>
          <w:vertAlign w:val="superscript"/>
        </w:rPr>
        <w:t>1</w:t>
      </w:r>
      <w:r w:rsidR="002C3986">
        <w:rPr>
          <w:vertAlign w:val="superscript"/>
        </w:rPr>
        <w:t>3</w:t>
      </w:r>
      <w:r w:rsidR="00C032A5">
        <w:rPr>
          <w:vertAlign w:val="superscript"/>
        </w:rPr>
        <w:t>,1</w:t>
      </w:r>
      <w:r w:rsidR="002C3986">
        <w:rPr>
          <w:vertAlign w:val="superscript"/>
        </w:rPr>
        <w:t>4</w:t>
      </w:r>
      <w:r>
        <w:t xml:space="preserve"> </w:t>
      </w:r>
    </w:p>
    <w:p w14:paraId="2D2770A2" w14:textId="77777777" w:rsidR="00AE0769" w:rsidRDefault="00AE0769" w:rsidP="003B4C03">
      <w:pPr>
        <w:pStyle w:val="ListBullet"/>
        <w:numPr>
          <w:ilvl w:val="0"/>
          <w:numId w:val="0"/>
        </w:numPr>
        <w:spacing w:line="240" w:lineRule="auto"/>
      </w:pPr>
    </w:p>
    <w:p w14:paraId="0F69C81E" w14:textId="77777777" w:rsidR="00607ADA" w:rsidRDefault="00607ADA" w:rsidP="00607ADA">
      <w:pPr>
        <w:pStyle w:val="Heading3"/>
      </w:pPr>
      <w:r>
        <w:t>Conclusions</w:t>
      </w:r>
    </w:p>
    <w:p w14:paraId="719188BF" w14:textId="51CF5A24" w:rsidR="00582485" w:rsidRDefault="00582485" w:rsidP="00582485">
      <w:pPr>
        <w:pStyle w:val="ListBullet"/>
        <w:numPr>
          <w:ilvl w:val="0"/>
          <w:numId w:val="0"/>
        </w:numPr>
        <w:spacing w:line="240" w:lineRule="auto"/>
      </w:pPr>
      <w:r>
        <w:t>The results of the project so far provide preliminary evidence that t</w:t>
      </w:r>
      <w:r w:rsidR="003B7115" w:rsidRPr="003B7115">
        <w:t xml:space="preserve">he direct introduction of advanced treated wastewater into a distribution system may present a new ecological niche that is </w:t>
      </w:r>
      <w:r>
        <w:t xml:space="preserve">biologically instable and </w:t>
      </w:r>
      <w:r w:rsidR="003B7115" w:rsidRPr="003B7115">
        <w:t xml:space="preserve">conducive to the growth of opportunistic pathogens. </w:t>
      </w:r>
      <w:r>
        <w:t>This research has implications for drinking water distribution systems and source switching to highly purified sources.</w:t>
      </w:r>
      <w:r w:rsidRPr="00582485">
        <w:t xml:space="preserve"> </w:t>
      </w:r>
      <w:r w:rsidRPr="003B7115">
        <w:t>Th</w:t>
      </w:r>
      <w:r w:rsidR="00FB44D2">
        <w:t>anks to</w:t>
      </w:r>
      <w:r w:rsidRPr="003B7115">
        <w:t xml:space="preserve"> </w:t>
      </w:r>
      <w:r w:rsidR="00FB44D2">
        <w:t xml:space="preserve">the </w:t>
      </w:r>
      <w:r w:rsidRPr="003B7115">
        <w:t>partnership</w:t>
      </w:r>
      <w:r w:rsidR="00FB44D2">
        <w:t xml:space="preserve"> and support from NWRI, </w:t>
      </w:r>
      <w:r w:rsidRPr="003B7115">
        <w:t xml:space="preserve">we hope to encourage further policies </w:t>
      </w:r>
      <w:r w:rsidR="00C032A5">
        <w:t xml:space="preserve">surrounding </w:t>
      </w:r>
      <w:r w:rsidR="00C032A5" w:rsidRPr="003B7115">
        <w:t>direct potable reuse</w:t>
      </w:r>
      <w:r w:rsidR="00C032A5">
        <w:t xml:space="preserve"> implementation, monitoring, and treatment </w:t>
      </w:r>
      <w:r w:rsidRPr="003B7115">
        <w:t xml:space="preserve">to ensure </w:t>
      </w:r>
      <w:r w:rsidR="00C032A5">
        <w:t>safe water quality</w:t>
      </w:r>
      <w:r w:rsidRPr="003B7115">
        <w:t xml:space="preserve"> </w:t>
      </w:r>
      <w:r w:rsidR="00C032A5">
        <w:t>for</w:t>
      </w:r>
      <w:r w:rsidRPr="003B7115">
        <w:t xml:space="preserve"> consumers. The end goal is to increase confidence in direct potable reuse as a viable solution for water scarcity, as it becomes a popular option for water agencies and policymakers in the western US. </w:t>
      </w:r>
    </w:p>
    <w:p w14:paraId="58A6EA03" w14:textId="5478CAFF" w:rsidR="00C032A5" w:rsidRPr="00607ADA" w:rsidRDefault="003B7115" w:rsidP="003B7115">
      <w:pPr>
        <w:pStyle w:val="ListBullet"/>
        <w:numPr>
          <w:ilvl w:val="0"/>
          <w:numId w:val="0"/>
        </w:numPr>
        <w:spacing w:line="240" w:lineRule="auto"/>
      </w:pPr>
      <w:r w:rsidRPr="003B7115">
        <w:t xml:space="preserve">The proposed research </w:t>
      </w:r>
      <w:r w:rsidR="00582485">
        <w:t xml:space="preserve">also </w:t>
      </w:r>
      <w:r w:rsidRPr="003B7115">
        <w:t>evaluate</w:t>
      </w:r>
      <w:r w:rsidR="00582485">
        <w:t>s evidence that</w:t>
      </w:r>
      <w:r w:rsidRPr="003B7115">
        <w:t xml:space="preserve"> </w:t>
      </w:r>
      <w:r w:rsidR="00582485">
        <w:t>biological filtration</w:t>
      </w:r>
      <w:r w:rsidR="00C032A5">
        <w:t xml:space="preserve"> with BAC</w:t>
      </w:r>
      <w:r w:rsidR="00582485">
        <w:t xml:space="preserve"> can seed advanced treated wastewater </w:t>
      </w:r>
      <w:r w:rsidR="00C032A5">
        <w:t xml:space="preserve">in a drinking water distribution system. This work </w:t>
      </w:r>
      <w:r w:rsidR="00582485">
        <w:t>offers</w:t>
      </w:r>
      <w:r w:rsidR="00C032A5">
        <w:t xml:space="preserve"> further evidence that biofilter s</w:t>
      </w:r>
      <w:r w:rsidR="00940EBF">
        <w:t>e</w:t>
      </w:r>
      <w:r w:rsidR="00C032A5">
        <w:t>eding can</w:t>
      </w:r>
      <w:r w:rsidR="00582485">
        <w:t xml:space="preserve"> increase</w:t>
      </w:r>
      <w:r w:rsidR="00C032A5">
        <w:t xml:space="preserve"> the</w:t>
      </w:r>
      <w:r w:rsidR="00582485">
        <w:t xml:space="preserve"> biological stability</w:t>
      </w:r>
      <w:r w:rsidR="00C032A5">
        <w:t xml:space="preserve"> of advanced treated wastewater</w:t>
      </w:r>
      <w:r w:rsidR="00582485">
        <w:t xml:space="preserve"> </w:t>
      </w:r>
      <w:r w:rsidRPr="003B7115">
        <w:t xml:space="preserve">to ensure </w:t>
      </w:r>
      <w:r w:rsidR="00C032A5">
        <w:t xml:space="preserve">opportunistic pathogens cannot proliferate or are outcompeted. </w:t>
      </w:r>
      <w:r w:rsidRPr="003B7115">
        <w:t xml:space="preserve">As a technique, engineered biological filtration seeding of a distribution system in combination with a routine monitoring scheme may be </w:t>
      </w:r>
      <w:r w:rsidR="00582485" w:rsidRPr="003B7115">
        <w:t>a</w:t>
      </w:r>
      <w:r w:rsidRPr="003B7115">
        <w:t xml:space="preserve"> helpful and reliable tool for the protection of public health, even beyond direct potable reuse. With the possibility of biofilter seeding, we can work to eradicate the myth of our drinking water distribution systems as uncontrollable ecosystems.  </w:t>
      </w:r>
    </w:p>
    <w:p w14:paraId="5C8C9BDD" w14:textId="77777777" w:rsidR="00607ADA" w:rsidRDefault="00607ADA" w:rsidP="00607ADA">
      <w:pPr>
        <w:pStyle w:val="Heading3"/>
      </w:pPr>
      <w:r>
        <w:lastRenderedPageBreak/>
        <w:t>Next Steps</w:t>
      </w:r>
    </w:p>
    <w:p w14:paraId="64508EB9" w14:textId="04071664" w:rsidR="00893E4A" w:rsidRDefault="00893E4A" w:rsidP="00893E4A">
      <w:pPr>
        <w:pStyle w:val="ListBullet"/>
        <w:numPr>
          <w:ilvl w:val="0"/>
          <w:numId w:val="0"/>
        </w:numPr>
        <w:spacing w:line="240" w:lineRule="auto"/>
      </w:pPr>
      <w:r>
        <w:t xml:space="preserve">The manuscript for the work completed so far is currently being drafted. </w:t>
      </w:r>
      <w:r>
        <w:t xml:space="preserve">Further analysis using the 16S sequencing data has yet to be performed. The alpha diversity, beta diversity, and enriched taxa will be evaluated over the time series to determine reactor and biofilter biological stability. A special notice will be paid to compare the tap and BFE reactor data. The opportunistic pathogen genera will be further analyzed at lower thresholds to determine if any additional trends arise. Differential abundance of enriched taxa by treatment type and time will be performed using two </w:t>
      </w:r>
      <w:r w:rsidR="00FB44D2">
        <w:t>different typical</w:t>
      </w:r>
      <w:r>
        <w:t xml:space="preserve"> methods. Comparison of the BAC, BFE feed water, and BFE bulk water microbial communities will be of particular concern to determine if and where biological seeding occurred. </w:t>
      </w:r>
      <w:r>
        <w:t>Editing and draft refinement will be challenging to ensure claims of the work are not overstated</w:t>
      </w:r>
      <w:r w:rsidR="00FB44D2">
        <w:t xml:space="preserve"> while emphasizing their importance</w:t>
      </w:r>
      <w:r>
        <w:t>.</w:t>
      </w:r>
    </w:p>
    <w:p w14:paraId="3C0882A0" w14:textId="2FFA6BE6" w:rsidR="00893E4A" w:rsidRDefault="00FB44D2" w:rsidP="00893E4A">
      <w:pPr>
        <w:pStyle w:val="ListBullet"/>
        <w:numPr>
          <w:ilvl w:val="0"/>
          <w:numId w:val="0"/>
        </w:numPr>
        <w:spacing w:line="240" w:lineRule="auto"/>
      </w:pPr>
      <w:r>
        <w:t>Many n</w:t>
      </w:r>
      <w:r w:rsidR="00893E4A">
        <w:t xml:space="preserve">ew questions have arisen from </w:t>
      </w:r>
      <w:r>
        <w:t>my</w:t>
      </w:r>
      <w:r w:rsidR="00893E4A">
        <w:t xml:space="preserve"> work </w:t>
      </w:r>
      <w:r>
        <w:t>on this research project</w:t>
      </w:r>
      <w:r w:rsidR="00893E4A">
        <w:t xml:space="preserve">: </w:t>
      </w:r>
      <w:r w:rsidR="00C032A5">
        <w:t>Could the community of a biofilter be engineered and maintain</w:t>
      </w:r>
      <w:r w:rsidR="00893E4A">
        <w:t>ed</w:t>
      </w:r>
      <w:r w:rsidR="00C032A5">
        <w:t xml:space="preserve"> to ensure biological stability</w:t>
      </w:r>
      <w:r>
        <w:t xml:space="preserve"> </w:t>
      </w:r>
      <w:r>
        <w:t>long-term</w:t>
      </w:r>
      <w:r w:rsidR="00893E4A">
        <w:t>? C</w:t>
      </w:r>
      <w:r w:rsidR="00C032A5">
        <w:t xml:space="preserve">an </w:t>
      </w:r>
      <w:r w:rsidR="00893E4A">
        <w:t xml:space="preserve">the practices of </w:t>
      </w:r>
      <w:r w:rsidR="00C032A5">
        <w:t xml:space="preserve">biological filter </w:t>
      </w:r>
      <w:proofErr w:type="gramStart"/>
      <w:r w:rsidR="00C032A5">
        <w:t>seeding</w:t>
      </w:r>
      <w:proofErr w:type="gramEnd"/>
      <w:r w:rsidR="00C032A5">
        <w:t xml:space="preserve"> and chlorination be </w:t>
      </w:r>
      <w:r w:rsidR="00893E4A">
        <w:t>reconciled</w:t>
      </w:r>
      <w:r>
        <w:t xml:space="preserve"> in practice</w:t>
      </w:r>
      <w:r w:rsidR="00893E4A">
        <w:t>?</w:t>
      </w:r>
      <w:r w:rsidR="00C032A5">
        <w:t xml:space="preserve"> What are the impacts </w:t>
      </w:r>
      <w:r w:rsidR="00893E4A">
        <w:t xml:space="preserve">of transitioning to highly purified water </w:t>
      </w:r>
      <w:r w:rsidR="00C032A5">
        <w:t>on distribution systems in</w:t>
      </w:r>
      <w:r w:rsidR="00893E4A">
        <w:t xml:space="preserve"> the</w:t>
      </w:r>
      <w:r w:rsidR="00C032A5">
        <w:t xml:space="preserve"> real world</w:t>
      </w:r>
      <w:r w:rsidR="00893E4A">
        <w:t>? W</w:t>
      </w:r>
      <w:r w:rsidR="00C032A5">
        <w:t xml:space="preserve">hat does metagenomic </w:t>
      </w:r>
      <w:r w:rsidR="00893E4A">
        <w:t>sequencing</w:t>
      </w:r>
      <w:r w:rsidR="00C032A5">
        <w:t xml:space="preserve"> reveal about the similarities and differences in </w:t>
      </w:r>
      <w:r w:rsidR="00893E4A">
        <w:t xml:space="preserve">the microbial community structure and functions between </w:t>
      </w:r>
      <w:r w:rsidR="00C032A5">
        <w:t xml:space="preserve">BAC </w:t>
      </w:r>
      <w:r w:rsidR="00893E4A">
        <w:t xml:space="preserve">media and filter effluents? </w:t>
      </w:r>
      <w:r>
        <w:t>My f</w:t>
      </w:r>
      <w:r w:rsidR="00893E4A">
        <w:t xml:space="preserve">uture </w:t>
      </w:r>
      <w:r>
        <w:t xml:space="preserve">research </w:t>
      </w:r>
      <w:r w:rsidR="00893E4A">
        <w:t xml:space="preserve">plans </w:t>
      </w:r>
      <w:r>
        <w:t>so far aim</w:t>
      </w:r>
      <w:r w:rsidR="00893E4A">
        <w:t xml:space="preserve"> to </w:t>
      </w:r>
      <w:r w:rsidR="00893E4A">
        <w:t xml:space="preserve">answer that last question by </w:t>
      </w:r>
      <w:r w:rsidR="00893E4A">
        <w:t>evaluat</w:t>
      </w:r>
      <w:r w:rsidR="00893E4A">
        <w:t>ing</w:t>
      </w:r>
      <w:r w:rsidR="00893E4A">
        <w:t xml:space="preserve"> the microbial communities in biological filters </w:t>
      </w:r>
      <w:r w:rsidR="00893E4A">
        <w:t xml:space="preserve">and their effluents </w:t>
      </w:r>
      <w:r w:rsidR="00893E4A">
        <w:t xml:space="preserve">using metagenomic sequencing data compiled from previous experiments. </w:t>
      </w:r>
    </w:p>
    <w:p w14:paraId="3EA72441" w14:textId="77777777" w:rsidR="00EE6095" w:rsidRDefault="00EE6095" w:rsidP="003B7115">
      <w:pPr>
        <w:pStyle w:val="ListBullet"/>
        <w:numPr>
          <w:ilvl w:val="0"/>
          <w:numId w:val="0"/>
        </w:numPr>
        <w:spacing w:line="240" w:lineRule="auto"/>
        <w:ind w:left="360" w:hanging="360"/>
      </w:pPr>
    </w:p>
    <w:p w14:paraId="0A794EE7" w14:textId="77777777" w:rsidR="00607ADA" w:rsidRDefault="00607ADA" w:rsidP="00F00F97">
      <w:pPr>
        <w:pStyle w:val="Heading3"/>
        <w:spacing w:line="240" w:lineRule="auto"/>
      </w:pPr>
      <w:r>
        <w:t>References</w:t>
      </w:r>
    </w:p>
    <w:p w14:paraId="11261EAB" w14:textId="2D274A33" w:rsidR="00893E4A" w:rsidRDefault="00030887" w:rsidP="00030887">
      <w:pPr>
        <w:pStyle w:val="ListParagraph"/>
        <w:numPr>
          <w:ilvl w:val="0"/>
          <w:numId w:val="18"/>
        </w:numPr>
      </w:pPr>
      <w:r w:rsidRPr="00030887">
        <w:t xml:space="preserve">Leverenz, Harold L., George </w:t>
      </w:r>
      <w:proofErr w:type="spellStart"/>
      <w:r w:rsidRPr="00030887">
        <w:t>Tchobanoglous</w:t>
      </w:r>
      <w:proofErr w:type="spellEnd"/>
      <w:r w:rsidRPr="00030887">
        <w:t xml:space="preserve">, and Takashi Asano. “Direct Potable Reuse: A Future Imperative.” Journal of Water Reuse and Desalination 1, no. 1 (March 1, 2011): 2–10. </w:t>
      </w:r>
      <w:hyperlink r:id="rId10" w:history="1">
        <w:r w:rsidRPr="00E843BE">
          <w:rPr>
            <w:rStyle w:val="Hyperlink"/>
          </w:rPr>
          <w:t>https://doi.org/10.2166/wrd.2011.000</w:t>
        </w:r>
      </w:hyperlink>
      <w:r w:rsidRPr="00030887">
        <w:t>.</w:t>
      </w:r>
    </w:p>
    <w:p w14:paraId="582F69C9" w14:textId="1C025A06" w:rsidR="00030887" w:rsidRDefault="00030887" w:rsidP="00030887">
      <w:pPr>
        <w:pStyle w:val="ListParagraph"/>
        <w:numPr>
          <w:ilvl w:val="0"/>
          <w:numId w:val="18"/>
        </w:numPr>
      </w:pPr>
      <w:r w:rsidRPr="00030887">
        <w:t xml:space="preserve">Liu, Gang, Ya Zhang, Willem-Jan Knibbe, </w:t>
      </w:r>
      <w:proofErr w:type="spellStart"/>
      <w:r w:rsidRPr="00030887">
        <w:t>Cuijie</w:t>
      </w:r>
      <w:proofErr w:type="spellEnd"/>
      <w:r w:rsidRPr="00030887">
        <w:t xml:space="preserve"> Feng, </w:t>
      </w:r>
      <w:proofErr w:type="spellStart"/>
      <w:r w:rsidRPr="00030887">
        <w:t>Wentso</w:t>
      </w:r>
      <w:proofErr w:type="spellEnd"/>
      <w:r w:rsidRPr="00030887">
        <w:t xml:space="preserve"> Liu, Gertjan Medema, and Walter van der Meer. “Potential Impacts of Changing Supply-Water Quality on Drinking Water Distribution: A Review.” Water Research 116 (June 1, 2017): 135–48. </w:t>
      </w:r>
      <w:hyperlink r:id="rId11" w:history="1">
        <w:r w:rsidRPr="00E843BE">
          <w:rPr>
            <w:rStyle w:val="Hyperlink"/>
          </w:rPr>
          <w:t>https://doi.org/10.1016/j.watres.2017.03.031</w:t>
        </w:r>
      </w:hyperlink>
      <w:r w:rsidRPr="00030887">
        <w:t>.</w:t>
      </w:r>
    </w:p>
    <w:p w14:paraId="5EF78514" w14:textId="2945D3B4" w:rsidR="00030887" w:rsidRDefault="00030887" w:rsidP="00030887">
      <w:pPr>
        <w:pStyle w:val="ListParagraph"/>
        <w:numPr>
          <w:ilvl w:val="0"/>
          <w:numId w:val="18"/>
        </w:numPr>
      </w:pPr>
      <w:proofErr w:type="spellStart"/>
      <w:r w:rsidRPr="00030887">
        <w:t>Favere</w:t>
      </w:r>
      <w:proofErr w:type="spellEnd"/>
      <w:r w:rsidRPr="00030887">
        <w:t xml:space="preserve">, Jorien, Raquel G. Barbosa, Tom </w:t>
      </w:r>
      <w:proofErr w:type="spellStart"/>
      <w:r w:rsidRPr="00030887">
        <w:t>Sleutels</w:t>
      </w:r>
      <w:proofErr w:type="spellEnd"/>
      <w:r w:rsidRPr="00030887">
        <w:t xml:space="preserve">, Willy Verstraete, Bart De </w:t>
      </w:r>
      <w:proofErr w:type="spellStart"/>
      <w:r w:rsidRPr="00030887">
        <w:t>Gusseme</w:t>
      </w:r>
      <w:proofErr w:type="spellEnd"/>
      <w:r w:rsidRPr="00030887">
        <w:t xml:space="preserve">, and Nico Boon. “Safeguarding the Microbial Water Quality from Source to Tap.” </w:t>
      </w:r>
      <w:proofErr w:type="spellStart"/>
      <w:r w:rsidRPr="00030887">
        <w:t>Npj</w:t>
      </w:r>
      <w:proofErr w:type="spellEnd"/>
      <w:r w:rsidRPr="00030887">
        <w:t xml:space="preserve"> Clean Water 4, no. 1 (April 27, 2021): 1–6. </w:t>
      </w:r>
      <w:hyperlink r:id="rId12" w:history="1">
        <w:r w:rsidRPr="00E843BE">
          <w:rPr>
            <w:rStyle w:val="Hyperlink"/>
          </w:rPr>
          <w:t>https://doi.org/10.1038/s41545-021-00118-1</w:t>
        </w:r>
      </w:hyperlink>
      <w:r w:rsidRPr="00030887">
        <w:t>.</w:t>
      </w:r>
    </w:p>
    <w:p w14:paraId="2D9D60C4" w14:textId="7F3E3D52" w:rsidR="00030887" w:rsidRDefault="00030887" w:rsidP="00030887">
      <w:pPr>
        <w:pStyle w:val="ListParagraph"/>
        <w:numPr>
          <w:ilvl w:val="0"/>
          <w:numId w:val="18"/>
        </w:numPr>
      </w:pPr>
      <w:r w:rsidRPr="00030887">
        <w:t xml:space="preserve">Kennedy, Lauren C., Scott E. Miller, Rose S. Kantor, Hannah Greenwald, Michael J. Adelman, Hari Seshan, Paige Russell, and Kara L. Nelson. “Stay in the Loop: Lessons Learned about the Microbial Water Quality in Pipe Loops Transitioned from Conventional to Direct Potable Reuse Water.” Environmental Science: Water Research &amp; Technology 9, no. 5 (May 5, 2023): 1436–54. </w:t>
      </w:r>
      <w:hyperlink r:id="rId13" w:history="1">
        <w:r w:rsidRPr="00E843BE">
          <w:rPr>
            <w:rStyle w:val="Hyperlink"/>
          </w:rPr>
          <w:t>https://doi.org/10.1039/D2EW00858K</w:t>
        </w:r>
      </w:hyperlink>
      <w:r w:rsidRPr="00030887">
        <w:t>.</w:t>
      </w:r>
    </w:p>
    <w:p w14:paraId="77424C00" w14:textId="1F0CD7A4" w:rsidR="00030887" w:rsidRDefault="00030887" w:rsidP="00030887">
      <w:pPr>
        <w:pStyle w:val="ListParagraph"/>
        <w:numPr>
          <w:ilvl w:val="0"/>
          <w:numId w:val="18"/>
        </w:numPr>
      </w:pPr>
      <w:r w:rsidRPr="00030887">
        <w:t xml:space="preserve">Wang, Hong, Marc A. Edwards, Joseph O. III </w:t>
      </w:r>
      <w:proofErr w:type="spellStart"/>
      <w:r w:rsidRPr="00030887">
        <w:t>Falkinham</w:t>
      </w:r>
      <w:proofErr w:type="spellEnd"/>
      <w:r w:rsidRPr="00030887">
        <w:t xml:space="preserve">, and Amy Pruden. “Probiotic Approach to Pathogen Control in Premise Plumbing Systems? A Review.” Environmental Science &amp; Technology 47, no. 18 (September 17, 2013): 10117–28. </w:t>
      </w:r>
      <w:hyperlink r:id="rId14" w:history="1">
        <w:r w:rsidRPr="00E843BE">
          <w:rPr>
            <w:rStyle w:val="Hyperlink"/>
          </w:rPr>
          <w:t>https://doi.org/10.1021/es402455r</w:t>
        </w:r>
      </w:hyperlink>
      <w:r w:rsidRPr="00030887">
        <w:t>.</w:t>
      </w:r>
    </w:p>
    <w:p w14:paraId="6C4223DB" w14:textId="7A8D223F" w:rsidR="00030887" w:rsidRDefault="00030887" w:rsidP="00030887">
      <w:pPr>
        <w:pStyle w:val="ListParagraph"/>
        <w:numPr>
          <w:ilvl w:val="0"/>
          <w:numId w:val="18"/>
        </w:numPr>
      </w:pPr>
      <w:r w:rsidRPr="00030887">
        <w:t xml:space="preserve">Prest, Emmanuelle I., Frederik Hammes, Mark C. M. van </w:t>
      </w:r>
      <w:proofErr w:type="spellStart"/>
      <w:r w:rsidRPr="00030887">
        <w:t>Loosdrecht</w:t>
      </w:r>
      <w:proofErr w:type="spellEnd"/>
      <w:r w:rsidRPr="00030887">
        <w:t xml:space="preserve">, and Johannes S. </w:t>
      </w:r>
      <w:proofErr w:type="spellStart"/>
      <w:r w:rsidRPr="00030887">
        <w:t>Vrouwenvelder</w:t>
      </w:r>
      <w:proofErr w:type="spellEnd"/>
      <w:r w:rsidRPr="00030887">
        <w:t xml:space="preserve">. “Biological Stability of Drinking Water: Controlling Factors, Methods, and Challenges.” Frontiers in Microbiology 7 (February 1, 2016). </w:t>
      </w:r>
      <w:hyperlink r:id="rId15" w:history="1">
        <w:r w:rsidRPr="00E843BE">
          <w:rPr>
            <w:rStyle w:val="Hyperlink"/>
          </w:rPr>
          <w:t>https://doi.org/10.3389/fmicb.2016.00045</w:t>
        </w:r>
      </w:hyperlink>
      <w:r w:rsidRPr="00030887">
        <w:t>.</w:t>
      </w:r>
    </w:p>
    <w:p w14:paraId="6A823554" w14:textId="254F9355" w:rsidR="00030887" w:rsidRDefault="00030887" w:rsidP="00030887">
      <w:pPr>
        <w:pStyle w:val="ListParagraph"/>
        <w:numPr>
          <w:ilvl w:val="0"/>
          <w:numId w:val="18"/>
        </w:numPr>
      </w:pPr>
      <w:r w:rsidRPr="00030887">
        <w:lastRenderedPageBreak/>
        <w:t xml:space="preserve">Kantor, Rose S., Scott E. Miller, and Kara L. Nelson. “The Water Microbiome Through a Pilot Scale Advanced Treatment Facility for Direct Potable Reuse.” Frontiers in Microbiology 10 (May 8, 2019). </w:t>
      </w:r>
      <w:hyperlink r:id="rId16" w:history="1">
        <w:r w:rsidRPr="00E843BE">
          <w:rPr>
            <w:rStyle w:val="Hyperlink"/>
          </w:rPr>
          <w:t>https://doi.org/10.3389/fmicb.2019.00993</w:t>
        </w:r>
      </w:hyperlink>
      <w:r w:rsidRPr="00030887">
        <w:t>.</w:t>
      </w:r>
    </w:p>
    <w:p w14:paraId="64005F50" w14:textId="5840EC50" w:rsidR="00030887" w:rsidRDefault="00030887" w:rsidP="00030887">
      <w:pPr>
        <w:pStyle w:val="ListParagraph"/>
        <w:numPr>
          <w:ilvl w:val="0"/>
          <w:numId w:val="18"/>
        </w:numPr>
      </w:pPr>
      <w:r w:rsidRPr="00030887">
        <w:t xml:space="preserve">Pinto, Ameet J., </w:t>
      </w:r>
      <w:proofErr w:type="spellStart"/>
      <w:r w:rsidRPr="00030887">
        <w:t>Chuanwu</w:t>
      </w:r>
      <w:proofErr w:type="spellEnd"/>
      <w:r w:rsidRPr="00030887">
        <w:t xml:space="preserve"> Xi, and Lutgarde Raskin. “Bacterial Community Structure in the Drinking Water Microbiome Is Governed by Filtration Processes.” Environmental Science &amp; Technology 46, no. 16 (August 21, 2012): 8851–59. </w:t>
      </w:r>
      <w:hyperlink r:id="rId17" w:history="1">
        <w:r w:rsidRPr="00E843BE">
          <w:rPr>
            <w:rStyle w:val="Hyperlink"/>
          </w:rPr>
          <w:t>https://doi.org/10.1021/es302042t</w:t>
        </w:r>
      </w:hyperlink>
      <w:r w:rsidRPr="00030887">
        <w:t>.</w:t>
      </w:r>
    </w:p>
    <w:p w14:paraId="09968B85" w14:textId="26149BBB" w:rsidR="00030887" w:rsidRDefault="00030887" w:rsidP="00030887">
      <w:pPr>
        <w:pStyle w:val="ListParagraph"/>
        <w:numPr>
          <w:ilvl w:val="0"/>
          <w:numId w:val="18"/>
        </w:numPr>
      </w:pPr>
      <w:r w:rsidRPr="00030887">
        <w:t xml:space="preserve">Lautenschlager, Karin, </w:t>
      </w:r>
      <w:proofErr w:type="spellStart"/>
      <w:r w:rsidRPr="00030887">
        <w:t>Chiachi</w:t>
      </w:r>
      <w:proofErr w:type="spellEnd"/>
      <w:r w:rsidRPr="00030887">
        <w:t xml:space="preserve"> Hwang, Wen-Tso Liu, Nico Boon, Oliver Köster, Hans </w:t>
      </w:r>
      <w:proofErr w:type="spellStart"/>
      <w:r w:rsidRPr="00030887">
        <w:t>Vrouwenvelder</w:t>
      </w:r>
      <w:proofErr w:type="spellEnd"/>
      <w:r w:rsidRPr="00030887">
        <w:t xml:space="preserve">, Thomas Egli, and Frederik Hammes. “A Microbiology-Based Multi-Parametric Approach towards Assessing Biological Stability in Drinking Water Distribution Networks.” Water Research 47, no. 9 (June 1, 2013): 3015–25. </w:t>
      </w:r>
      <w:hyperlink r:id="rId18" w:history="1">
        <w:r w:rsidRPr="00E843BE">
          <w:rPr>
            <w:rStyle w:val="Hyperlink"/>
          </w:rPr>
          <w:t>https://doi.org/10.1016/j.watres.2013.03.002</w:t>
        </w:r>
      </w:hyperlink>
      <w:r w:rsidRPr="00030887">
        <w:t>.</w:t>
      </w:r>
    </w:p>
    <w:p w14:paraId="3B446A68" w14:textId="5F907DA7" w:rsidR="00030887" w:rsidRDefault="00030887" w:rsidP="00030887">
      <w:pPr>
        <w:pStyle w:val="ListParagraph"/>
        <w:numPr>
          <w:ilvl w:val="0"/>
          <w:numId w:val="18"/>
        </w:numPr>
      </w:pPr>
      <w:r w:rsidRPr="00030887">
        <w:t xml:space="preserve">Vosloo, </w:t>
      </w:r>
      <w:proofErr w:type="spellStart"/>
      <w:r w:rsidRPr="00030887">
        <w:t>Solize</w:t>
      </w:r>
      <w:proofErr w:type="spellEnd"/>
      <w:r w:rsidRPr="00030887">
        <w:t xml:space="preserve">, Maria Sevillano, and Ameet Pinto. “Modified </w:t>
      </w:r>
      <w:proofErr w:type="spellStart"/>
      <w:r w:rsidRPr="00030887">
        <w:t>DNeasy</w:t>
      </w:r>
      <w:proofErr w:type="spellEnd"/>
      <w:r w:rsidRPr="00030887">
        <w:t xml:space="preserve"> </w:t>
      </w:r>
      <w:proofErr w:type="spellStart"/>
      <w:r w:rsidRPr="00030887">
        <w:t>PowerWater</w:t>
      </w:r>
      <w:proofErr w:type="spellEnd"/>
      <w:r w:rsidRPr="00030887">
        <w:t xml:space="preserve"> Kit® Protocol for DNA Extractions from Drinking Water Samples,” September 11, 2019. </w:t>
      </w:r>
      <w:hyperlink r:id="rId19" w:history="1">
        <w:r w:rsidRPr="00E843BE">
          <w:rPr>
            <w:rStyle w:val="Hyperlink"/>
          </w:rPr>
          <w:t>https://www.protocols.io/view/modified-dneasy-powerwater-kit-protocol-for-dna-ex-66khhcw</w:t>
        </w:r>
      </w:hyperlink>
      <w:r w:rsidRPr="00030887">
        <w:t>.</w:t>
      </w:r>
    </w:p>
    <w:p w14:paraId="0EBEDFFC" w14:textId="77777777" w:rsidR="002C3986" w:rsidRDefault="002C3986" w:rsidP="00030887">
      <w:pPr>
        <w:pStyle w:val="ListParagraph"/>
        <w:numPr>
          <w:ilvl w:val="0"/>
          <w:numId w:val="18"/>
        </w:numPr>
      </w:pPr>
      <w:r w:rsidRPr="002C3986">
        <w:t>“Silva.” Accessed July 10, 2024. https://www.arb-silva.de/.</w:t>
      </w:r>
      <w:r w:rsidRPr="002C3986">
        <w:t xml:space="preserve"> </w:t>
      </w:r>
    </w:p>
    <w:p w14:paraId="60FAA562" w14:textId="5FA66D60" w:rsidR="00030887" w:rsidRDefault="00030887" w:rsidP="00030887">
      <w:pPr>
        <w:pStyle w:val="ListParagraph"/>
        <w:numPr>
          <w:ilvl w:val="0"/>
          <w:numId w:val="18"/>
        </w:numPr>
      </w:pPr>
      <w:r w:rsidRPr="00030887">
        <w:t xml:space="preserve">Healy, Hannah Greenwald, Aliya Ehde, Alma Bartholow, Rose S. Kantor, and Kara L. Nelson. “Responses of Drinking Water Bulk and Biofilm Microbiota to Elevated Water Age in Bench-Scale Simulated Distribution Systems.” </w:t>
      </w:r>
      <w:proofErr w:type="spellStart"/>
      <w:r w:rsidRPr="00030887">
        <w:t>Npj</w:t>
      </w:r>
      <w:proofErr w:type="spellEnd"/>
      <w:r w:rsidRPr="00030887">
        <w:t xml:space="preserve"> Biofilms and Microbiomes 10, no. 1 (January 22, 2024): 1–18. </w:t>
      </w:r>
      <w:hyperlink r:id="rId20" w:history="1">
        <w:r w:rsidRPr="00E843BE">
          <w:rPr>
            <w:rStyle w:val="Hyperlink"/>
          </w:rPr>
          <w:t>https://doi.org/10.1038/s41522-023-00473-6</w:t>
        </w:r>
      </w:hyperlink>
      <w:r w:rsidRPr="00030887">
        <w:t>.</w:t>
      </w:r>
    </w:p>
    <w:p w14:paraId="4A4EA2C1" w14:textId="481ED559" w:rsidR="00030887" w:rsidRDefault="00030887" w:rsidP="00030887">
      <w:pPr>
        <w:pStyle w:val="ListParagraph"/>
        <w:numPr>
          <w:ilvl w:val="0"/>
          <w:numId w:val="18"/>
        </w:numPr>
      </w:pPr>
      <w:r w:rsidRPr="00030887">
        <w:t xml:space="preserve">Bioconductor. “DESeq2.” Accessed July 9, 2024. </w:t>
      </w:r>
      <w:hyperlink r:id="rId21" w:history="1">
        <w:r w:rsidRPr="00E843BE">
          <w:rPr>
            <w:rStyle w:val="Hyperlink"/>
          </w:rPr>
          <w:t>http://bioconductor.org/packages/DESeq2/</w:t>
        </w:r>
      </w:hyperlink>
      <w:r w:rsidRPr="00030887">
        <w:t>.</w:t>
      </w:r>
    </w:p>
    <w:p w14:paraId="2FC9F738" w14:textId="1C959558" w:rsidR="00030887" w:rsidRDefault="00030887" w:rsidP="00030887">
      <w:pPr>
        <w:pStyle w:val="ListParagraph"/>
        <w:numPr>
          <w:ilvl w:val="0"/>
          <w:numId w:val="18"/>
        </w:numPr>
      </w:pPr>
      <w:r w:rsidRPr="00030887">
        <w:t xml:space="preserve">Bakker, Jonathan D. “SIMPER,” January 3, 2024. </w:t>
      </w:r>
      <w:hyperlink r:id="rId22" w:history="1">
        <w:r w:rsidRPr="00E843BE">
          <w:rPr>
            <w:rStyle w:val="Hyperlink"/>
          </w:rPr>
          <w:t>https://uw.pressbooks.pub/appliedmultivariatestatistics/chapter/simper/</w:t>
        </w:r>
      </w:hyperlink>
      <w:r w:rsidRPr="00030887">
        <w:t>.</w:t>
      </w:r>
    </w:p>
    <w:p w14:paraId="7CF92BB4" w14:textId="77777777" w:rsidR="00030887" w:rsidRDefault="00030887" w:rsidP="00030887"/>
    <w:p w14:paraId="363FDB6C" w14:textId="77777777" w:rsidR="00030887" w:rsidRPr="00893E4A" w:rsidRDefault="00030887" w:rsidP="00030887"/>
    <w:sectPr w:rsidR="00030887" w:rsidRPr="00893E4A" w:rsidSect="00176DE4">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7B0BF" w14:textId="77777777" w:rsidR="00E15605" w:rsidRDefault="00E15605" w:rsidP="00CD1EDD">
      <w:r>
        <w:separator/>
      </w:r>
    </w:p>
  </w:endnote>
  <w:endnote w:type="continuationSeparator" w:id="0">
    <w:p w14:paraId="0C9D8AAA" w14:textId="77777777" w:rsidR="00E15605" w:rsidRDefault="00E15605" w:rsidP="00CD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venir Heavy">
    <w:altName w:val="Calibri"/>
    <w:charset w:val="4D"/>
    <w:family w:val="swiss"/>
    <w:pitch w:val="variable"/>
    <w:sig w:usb0="800000AF" w:usb1="5000204A" w:usb2="00000000" w:usb3="00000000" w:csb0="0000009B" w:csb1="00000000"/>
  </w:font>
  <w:font w:name="Lucida Grande">
    <w:charset w:val="00"/>
    <w:family w:val="swiss"/>
    <w:pitch w:val="variable"/>
    <w:sig w:usb0="E1000AEF" w:usb1="5000A1FF" w:usb2="00000000" w:usb3="00000000" w:csb0="000001B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2693999"/>
      <w:docPartObj>
        <w:docPartGallery w:val="Page Numbers (Bottom of Page)"/>
        <w:docPartUnique/>
      </w:docPartObj>
    </w:sdtPr>
    <w:sdtContent>
      <w:p w14:paraId="023DC1A7" w14:textId="77777777" w:rsidR="00510F81" w:rsidRDefault="00510F81" w:rsidP="00CD1ED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3ACD8E" w14:textId="77777777" w:rsidR="00510F81" w:rsidRDefault="00510F81" w:rsidP="00CD1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EEEC" w14:textId="77777777" w:rsidR="00B718D1" w:rsidRPr="00F9247F" w:rsidRDefault="00B718D1" w:rsidP="00A774B0">
    <w:pPr>
      <w:pStyle w:val="Footer"/>
      <w:jc w:val="center"/>
      <w:rPr>
        <w:sz w:val="20"/>
        <w:szCs w:val="20"/>
      </w:rPr>
    </w:pPr>
    <w:r w:rsidRPr="00F9247F">
      <w:rPr>
        <w:sz w:val="20"/>
        <w:szCs w:val="20"/>
      </w:rPr>
      <w:t>nwri-usa.org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FD3FE" w14:textId="77777777" w:rsidR="00132226" w:rsidRPr="00F9247F" w:rsidRDefault="00132226" w:rsidP="00132226">
    <w:pPr>
      <w:pBdr>
        <w:top w:val="nil"/>
        <w:left w:val="nil"/>
        <w:bottom w:val="nil"/>
        <w:right w:val="nil"/>
        <w:between w:val="nil"/>
      </w:pBdr>
      <w:tabs>
        <w:tab w:val="center" w:pos="4680"/>
      </w:tabs>
      <w:spacing w:before="120"/>
      <w:ind w:left="-270" w:right="-360"/>
      <w:jc w:val="center"/>
      <w:rPr>
        <w:rFonts w:cs="Lucida Grande"/>
        <w:color w:val="1F4E79"/>
        <w:sz w:val="20"/>
        <w:szCs w:val="20"/>
      </w:rPr>
    </w:pPr>
    <w:r w:rsidRPr="00F9247F">
      <w:rPr>
        <w:rFonts w:cs="Lucida Grande"/>
        <w:color w:val="1F4E79"/>
        <w:sz w:val="20"/>
        <w:szCs w:val="20"/>
      </w:rPr>
      <w:t xml:space="preserve">Kevin M. Hardy • Executive Director • </w:t>
    </w:r>
    <w:hyperlink r:id="rId1">
      <w:r w:rsidRPr="00F9247F">
        <w:rPr>
          <w:rFonts w:cs="Lucida Grande"/>
          <w:color w:val="0563C1"/>
          <w:sz w:val="20"/>
          <w:szCs w:val="20"/>
          <w:u w:val="single"/>
        </w:rPr>
        <w:t>khardy@nwri-usa.org</w:t>
      </w:r>
    </w:hyperlink>
    <w:r w:rsidRPr="00F9247F">
      <w:rPr>
        <w:rFonts w:cs="Lucida Grande"/>
        <w:color w:val="1F4E79"/>
        <w:sz w:val="20"/>
        <w:szCs w:val="20"/>
      </w:rPr>
      <w:t xml:space="preserve"> • www.nwri-usa.org</w:t>
    </w:r>
  </w:p>
  <w:p w14:paraId="65D47C48" w14:textId="77777777" w:rsidR="00E90667" w:rsidRPr="00F9247F" w:rsidRDefault="00132226" w:rsidP="00132226">
    <w:pPr>
      <w:pBdr>
        <w:top w:val="nil"/>
        <w:left w:val="nil"/>
        <w:bottom w:val="nil"/>
        <w:right w:val="nil"/>
        <w:between w:val="nil"/>
      </w:pBdr>
      <w:tabs>
        <w:tab w:val="center" w:pos="4680"/>
      </w:tabs>
      <w:spacing w:after="0"/>
      <w:ind w:left="-270" w:right="-360"/>
      <w:jc w:val="center"/>
      <w:rPr>
        <w:rFonts w:cs="Lucida Grande"/>
        <w:color w:val="000000"/>
        <w:sz w:val="18"/>
        <w:szCs w:val="18"/>
      </w:rPr>
    </w:pPr>
    <w:r w:rsidRPr="00F9247F">
      <w:rPr>
        <w:rFonts w:cs="Lucida Grande"/>
        <w:b/>
        <w:bCs/>
        <w:color w:val="000000"/>
        <w:sz w:val="18"/>
        <w:szCs w:val="18"/>
      </w:rPr>
      <w:t>JPA MEMBERS:</w:t>
    </w:r>
    <w:r w:rsidRPr="00F9247F">
      <w:rPr>
        <w:rFonts w:cs="Lucida Grande"/>
        <w:color w:val="000000"/>
        <w:sz w:val="18"/>
        <w:szCs w:val="18"/>
      </w:rPr>
      <w:t xml:space="preserve"> Inland Empire Utilities Agency • Irvine Ranch Water District • Los Angeles Department of Water and Power </w:t>
    </w:r>
  </w:p>
  <w:p w14:paraId="23B0BB29" w14:textId="77777777" w:rsidR="00B56513" w:rsidRPr="00F9247F" w:rsidRDefault="00132226" w:rsidP="00132226">
    <w:pPr>
      <w:pBdr>
        <w:top w:val="nil"/>
        <w:left w:val="nil"/>
        <w:bottom w:val="nil"/>
        <w:right w:val="nil"/>
        <w:between w:val="nil"/>
      </w:pBdr>
      <w:tabs>
        <w:tab w:val="center" w:pos="4680"/>
      </w:tabs>
      <w:spacing w:after="0"/>
      <w:ind w:left="-270" w:right="-360"/>
      <w:jc w:val="center"/>
      <w:rPr>
        <w:rFonts w:cs="Lucida Grande"/>
        <w:color w:val="000000"/>
        <w:sz w:val="18"/>
        <w:szCs w:val="18"/>
      </w:rPr>
    </w:pPr>
    <w:r w:rsidRPr="00F9247F">
      <w:rPr>
        <w:rFonts w:cs="Lucida Grande"/>
        <w:color w:val="000000"/>
        <w:sz w:val="18"/>
        <w:szCs w:val="18"/>
      </w:rPr>
      <w:t>Metropolitan Water District of Southern California • Orange County Sanitation District • Orange County Water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401A8" w14:textId="77777777" w:rsidR="00E15605" w:rsidRDefault="00E15605" w:rsidP="00CD1EDD">
      <w:r>
        <w:separator/>
      </w:r>
    </w:p>
  </w:footnote>
  <w:footnote w:type="continuationSeparator" w:id="0">
    <w:p w14:paraId="2E576ED4" w14:textId="77777777" w:rsidR="00E15605" w:rsidRDefault="00E15605" w:rsidP="00CD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2BEBC" w14:textId="77777777" w:rsidR="004362D6" w:rsidRDefault="00436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54A22" w14:textId="77777777" w:rsidR="003B48AF" w:rsidRPr="00510F81" w:rsidRDefault="00F9247F" w:rsidP="00CD1EDD">
    <w:pPr>
      <w:pStyle w:val="Header"/>
    </w:pPr>
    <w:r>
      <w:rPr>
        <w:noProof/>
        <w:position w:val="10"/>
      </w:rPr>
      <w:drawing>
        <wp:inline distT="0" distB="0" distL="0" distR="0" wp14:anchorId="00B791CC" wp14:editId="1D60F0DD">
          <wp:extent cx="355600" cy="535046"/>
          <wp:effectExtent l="0" t="0" r="0" b="0"/>
          <wp:docPr id="966735965" name="Picture 1" descr="A water drop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35965" name="Picture 1" descr="A water drop with leaves&#10;&#10;Description automatically generated"/>
                  <pic:cNvPicPr/>
                </pic:nvPicPr>
                <pic:blipFill rotWithShape="1">
                  <a:blip r:embed="rId1">
                    <a:extLst>
                      <a:ext uri="{28A0092B-C50C-407E-A947-70E740481C1C}">
                        <a14:useLocalDpi xmlns:a14="http://schemas.microsoft.com/office/drawing/2010/main" val="0"/>
                      </a:ext>
                    </a:extLst>
                  </a:blip>
                  <a:srcRect l="15962" t="11348" r="16433" b="11821"/>
                  <a:stretch/>
                </pic:blipFill>
                <pic:spPr bwMode="auto">
                  <a:xfrm>
                    <a:off x="0" y="0"/>
                    <a:ext cx="384517" cy="578556"/>
                  </a:xfrm>
                  <a:prstGeom prst="rect">
                    <a:avLst/>
                  </a:prstGeom>
                  <a:ln>
                    <a:noFill/>
                  </a:ln>
                  <a:extLst>
                    <a:ext uri="{53640926-AAD7-44D8-BBD7-CCE9431645EC}">
                      <a14:shadowObscured xmlns:a14="http://schemas.microsoft.com/office/drawing/2010/main"/>
                    </a:ext>
                  </a:extLst>
                </pic:spPr>
              </pic:pic>
            </a:graphicData>
          </a:graphic>
        </wp:inline>
      </w:drawing>
    </w:r>
    <w:r>
      <w:rPr>
        <w:position w:val="10"/>
      </w:rPr>
      <w:t xml:space="preserve"> </w:t>
    </w:r>
    <w:r w:rsidR="003D5A95" w:rsidRPr="00F9247F">
      <w:rPr>
        <w:position w:val="20"/>
      </w:rPr>
      <w:t>National Water Research Institute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241B" w14:textId="77777777" w:rsidR="00E90667" w:rsidRDefault="00E90667" w:rsidP="00CD1EDD">
    <w:pPr>
      <w:pStyle w:val="Header"/>
    </w:pPr>
  </w:p>
  <w:p w14:paraId="095D087D" w14:textId="77777777" w:rsidR="00510F81" w:rsidRDefault="00E90667" w:rsidP="00CD1EDD">
    <w:pPr>
      <w:pStyle w:val="Header"/>
    </w:pPr>
    <w:r>
      <w:rPr>
        <w:noProof/>
      </w:rPr>
      <w:drawing>
        <wp:inline distT="0" distB="0" distL="0" distR="0" wp14:anchorId="2B051924" wp14:editId="7DA24AA9">
          <wp:extent cx="2286000" cy="913391"/>
          <wp:effectExtent l="0" t="0" r="0" b="1270"/>
          <wp:docPr id="1306073735" name="Picture 1" descr="A logo for a water researc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73735" name="Picture 1" descr="A logo for a water research institute&#10;&#10;Description automatically generated"/>
                  <pic:cNvPicPr/>
                </pic:nvPicPr>
                <pic:blipFill rotWithShape="1">
                  <a:blip r:embed="rId1">
                    <a:extLst>
                      <a:ext uri="{28A0092B-C50C-407E-A947-70E740481C1C}">
                        <a14:useLocalDpi xmlns:a14="http://schemas.microsoft.com/office/drawing/2010/main" val="0"/>
                      </a:ext>
                    </a:extLst>
                  </a:blip>
                  <a:srcRect l="5556" t="12183" r="5673" b="11985"/>
                  <a:stretch/>
                </pic:blipFill>
                <pic:spPr bwMode="auto">
                  <a:xfrm>
                    <a:off x="0" y="0"/>
                    <a:ext cx="2349508" cy="938766"/>
                  </a:xfrm>
                  <a:prstGeom prst="rect">
                    <a:avLst/>
                  </a:prstGeom>
                  <a:ln>
                    <a:noFill/>
                  </a:ln>
                  <a:extLst>
                    <a:ext uri="{53640926-AAD7-44D8-BBD7-CCE9431645EC}">
                      <a14:shadowObscured xmlns:a14="http://schemas.microsoft.com/office/drawing/2010/main"/>
                    </a:ext>
                  </a:extLst>
                </pic:spPr>
              </pic:pic>
            </a:graphicData>
          </a:graphic>
        </wp:inline>
      </w:drawing>
    </w:r>
  </w:p>
  <w:p w14:paraId="511B4D5F" w14:textId="77777777" w:rsidR="00F9247F" w:rsidRPr="00F9247F" w:rsidRDefault="00F9247F" w:rsidP="00CD1EDD">
    <w:pPr>
      <w:pStyle w:val="Header"/>
      <w:rPr>
        <w:sz w:val="18"/>
        <w:szCs w:val="18"/>
      </w:rPr>
    </w:pPr>
    <w:r w:rsidRPr="00F9247F">
      <w:rPr>
        <w:sz w:val="18"/>
        <w:szCs w:val="18"/>
      </w:rPr>
      <w:t xml:space="preserve">18700 Ward St. </w:t>
    </w:r>
    <w:r w:rsidRPr="00F9247F">
      <w:rPr>
        <w:sz w:val="15"/>
        <w:szCs w:val="15"/>
      </w:rPr>
      <w:t>•</w:t>
    </w:r>
    <w:r w:rsidRPr="00F9247F">
      <w:rPr>
        <w:sz w:val="18"/>
        <w:szCs w:val="18"/>
      </w:rPr>
      <w:t xml:space="preserve"> Fountain Valley, CA 92708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534B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581F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8CBF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38FFD6"/>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95DE07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0AA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54D4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F8C1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16CB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9C92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556889"/>
    <w:multiLevelType w:val="hybridMultilevel"/>
    <w:tmpl w:val="7116D342"/>
    <w:lvl w:ilvl="0" w:tplc="24A8A168">
      <w:start w:val="1"/>
      <w:numFmt w:val="bullet"/>
      <w:pStyle w:val="ListBullet"/>
      <w:lvlText w:val=""/>
      <w:lvlJc w:val="left"/>
      <w:pPr>
        <w:ind w:left="720" w:hanging="360"/>
      </w:pPr>
      <w:rPr>
        <w:rFonts w:ascii="Symbol" w:hAnsi="Symbol" w:hint="default"/>
      </w:rPr>
    </w:lvl>
    <w:lvl w:ilvl="1" w:tplc="7FC4F32E" w:tentative="1">
      <w:start w:val="1"/>
      <w:numFmt w:val="bullet"/>
      <w:lvlText w:val="o"/>
      <w:lvlJc w:val="left"/>
      <w:pPr>
        <w:ind w:left="1440" w:hanging="360"/>
      </w:pPr>
      <w:rPr>
        <w:rFonts w:ascii="Courier New" w:hAnsi="Courier New" w:cs="Courier New" w:hint="default"/>
      </w:rPr>
    </w:lvl>
    <w:lvl w:ilvl="2" w:tplc="D86E9126" w:tentative="1">
      <w:start w:val="1"/>
      <w:numFmt w:val="bullet"/>
      <w:lvlText w:val=""/>
      <w:lvlJc w:val="left"/>
      <w:pPr>
        <w:ind w:left="2160" w:hanging="360"/>
      </w:pPr>
      <w:rPr>
        <w:rFonts w:ascii="Wingdings" w:hAnsi="Wingdings" w:hint="default"/>
      </w:rPr>
    </w:lvl>
    <w:lvl w:ilvl="3" w:tplc="C56E90CC" w:tentative="1">
      <w:start w:val="1"/>
      <w:numFmt w:val="bullet"/>
      <w:lvlText w:val=""/>
      <w:lvlJc w:val="left"/>
      <w:pPr>
        <w:ind w:left="2880" w:hanging="360"/>
      </w:pPr>
      <w:rPr>
        <w:rFonts w:ascii="Symbol" w:hAnsi="Symbol" w:hint="default"/>
      </w:rPr>
    </w:lvl>
    <w:lvl w:ilvl="4" w:tplc="74D21F32" w:tentative="1">
      <w:start w:val="1"/>
      <w:numFmt w:val="bullet"/>
      <w:lvlText w:val="o"/>
      <w:lvlJc w:val="left"/>
      <w:pPr>
        <w:ind w:left="3600" w:hanging="360"/>
      </w:pPr>
      <w:rPr>
        <w:rFonts w:ascii="Courier New" w:hAnsi="Courier New" w:cs="Courier New" w:hint="default"/>
      </w:rPr>
    </w:lvl>
    <w:lvl w:ilvl="5" w:tplc="05947A5C" w:tentative="1">
      <w:start w:val="1"/>
      <w:numFmt w:val="bullet"/>
      <w:lvlText w:val=""/>
      <w:lvlJc w:val="left"/>
      <w:pPr>
        <w:ind w:left="4320" w:hanging="360"/>
      </w:pPr>
      <w:rPr>
        <w:rFonts w:ascii="Wingdings" w:hAnsi="Wingdings" w:hint="default"/>
      </w:rPr>
    </w:lvl>
    <w:lvl w:ilvl="6" w:tplc="A03ED94A" w:tentative="1">
      <w:start w:val="1"/>
      <w:numFmt w:val="bullet"/>
      <w:lvlText w:val=""/>
      <w:lvlJc w:val="left"/>
      <w:pPr>
        <w:ind w:left="5040" w:hanging="360"/>
      </w:pPr>
      <w:rPr>
        <w:rFonts w:ascii="Symbol" w:hAnsi="Symbol" w:hint="default"/>
      </w:rPr>
    </w:lvl>
    <w:lvl w:ilvl="7" w:tplc="7278F48C" w:tentative="1">
      <w:start w:val="1"/>
      <w:numFmt w:val="bullet"/>
      <w:lvlText w:val="o"/>
      <w:lvlJc w:val="left"/>
      <w:pPr>
        <w:ind w:left="5760" w:hanging="360"/>
      </w:pPr>
      <w:rPr>
        <w:rFonts w:ascii="Courier New" w:hAnsi="Courier New" w:cs="Courier New" w:hint="default"/>
      </w:rPr>
    </w:lvl>
    <w:lvl w:ilvl="8" w:tplc="246EF294" w:tentative="1">
      <w:start w:val="1"/>
      <w:numFmt w:val="bullet"/>
      <w:lvlText w:val=""/>
      <w:lvlJc w:val="left"/>
      <w:pPr>
        <w:ind w:left="6480" w:hanging="360"/>
      </w:pPr>
      <w:rPr>
        <w:rFonts w:ascii="Wingdings" w:hAnsi="Wingdings" w:hint="default"/>
      </w:rPr>
    </w:lvl>
  </w:abstractNum>
  <w:abstractNum w:abstractNumId="11" w15:restartNumberingAfterBreak="0">
    <w:nsid w:val="2A245A57"/>
    <w:multiLevelType w:val="hybridMultilevel"/>
    <w:tmpl w:val="FEB4EF56"/>
    <w:lvl w:ilvl="0" w:tplc="FD880C8E">
      <w:start w:val="1"/>
      <w:numFmt w:val="bullet"/>
      <w:lvlText w:val="-"/>
      <w:lvlJc w:val="left"/>
      <w:pPr>
        <w:ind w:left="720" w:hanging="360"/>
      </w:pPr>
      <w:rPr>
        <w:rFonts w:ascii="Avenir Book" w:eastAsiaTheme="minorHAnsi" w:hAnsi="Avenir Book"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13D80"/>
    <w:multiLevelType w:val="hybridMultilevel"/>
    <w:tmpl w:val="A8320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2653F"/>
    <w:multiLevelType w:val="multilevel"/>
    <w:tmpl w:val="D78CD27E"/>
    <w:lvl w:ilvl="0">
      <w:start w:val="1"/>
      <w:numFmt w:val="lowerRoman"/>
      <w:pStyle w:val="ListNumber3"/>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403858B2"/>
    <w:multiLevelType w:val="hybridMultilevel"/>
    <w:tmpl w:val="E5F80762"/>
    <w:lvl w:ilvl="0" w:tplc="4A1C8C50">
      <w:start w:val="1"/>
      <w:numFmt w:val="decimal"/>
      <w:lvlText w:val="%1."/>
      <w:lvlJc w:val="left"/>
      <w:pPr>
        <w:ind w:left="720" w:hanging="360"/>
      </w:pPr>
      <w:rPr>
        <w:b/>
      </w:rPr>
    </w:lvl>
    <w:lvl w:ilvl="1" w:tplc="62CE1034" w:tentative="1">
      <w:start w:val="1"/>
      <w:numFmt w:val="lowerLetter"/>
      <w:lvlText w:val="%2."/>
      <w:lvlJc w:val="left"/>
      <w:pPr>
        <w:ind w:left="1440" w:hanging="360"/>
      </w:pPr>
    </w:lvl>
    <w:lvl w:ilvl="2" w:tplc="F120F812" w:tentative="1">
      <w:start w:val="1"/>
      <w:numFmt w:val="lowerRoman"/>
      <w:lvlText w:val="%3."/>
      <w:lvlJc w:val="right"/>
      <w:pPr>
        <w:ind w:left="2160" w:hanging="180"/>
      </w:pPr>
    </w:lvl>
    <w:lvl w:ilvl="3" w:tplc="71BEEBE4" w:tentative="1">
      <w:start w:val="1"/>
      <w:numFmt w:val="decimal"/>
      <w:lvlText w:val="%4."/>
      <w:lvlJc w:val="left"/>
      <w:pPr>
        <w:ind w:left="2880" w:hanging="360"/>
      </w:pPr>
    </w:lvl>
    <w:lvl w:ilvl="4" w:tplc="23FE53CA" w:tentative="1">
      <w:start w:val="1"/>
      <w:numFmt w:val="lowerLetter"/>
      <w:lvlText w:val="%5."/>
      <w:lvlJc w:val="left"/>
      <w:pPr>
        <w:ind w:left="3600" w:hanging="360"/>
      </w:pPr>
    </w:lvl>
    <w:lvl w:ilvl="5" w:tplc="021C33BA" w:tentative="1">
      <w:start w:val="1"/>
      <w:numFmt w:val="lowerRoman"/>
      <w:lvlText w:val="%6."/>
      <w:lvlJc w:val="right"/>
      <w:pPr>
        <w:ind w:left="4320" w:hanging="180"/>
      </w:pPr>
    </w:lvl>
    <w:lvl w:ilvl="6" w:tplc="CF7EB222" w:tentative="1">
      <w:start w:val="1"/>
      <w:numFmt w:val="decimal"/>
      <w:lvlText w:val="%7."/>
      <w:lvlJc w:val="left"/>
      <w:pPr>
        <w:ind w:left="5040" w:hanging="360"/>
      </w:pPr>
    </w:lvl>
    <w:lvl w:ilvl="7" w:tplc="4DA2C4E8" w:tentative="1">
      <w:start w:val="1"/>
      <w:numFmt w:val="lowerLetter"/>
      <w:lvlText w:val="%8."/>
      <w:lvlJc w:val="left"/>
      <w:pPr>
        <w:ind w:left="5760" w:hanging="360"/>
      </w:pPr>
    </w:lvl>
    <w:lvl w:ilvl="8" w:tplc="7618ED54" w:tentative="1">
      <w:start w:val="1"/>
      <w:numFmt w:val="lowerRoman"/>
      <w:lvlText w:val="%9."/>
      <w:lvlJc w:val="right"/>
      <w:pPr>
        <w:ind w:left="6480" w:hanging="180"/>
      </w:pPr>
    </w:lvl>
  </w:abstractNum>
  <w:abstractNum w:abstractNumId="15" w15:restartNumberingAfterBreak="0">
    <w:nsid w:val="4AFC6549"/>
    <w:multiLevelType w:val="hybridMultilevel"/>
    <w:tmpl w:val="67709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96B66"/>
    <w:multiLevelType w:val="multilevel"/>
    <w:tmpl w:val="3CB4281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671D7E75"/>
    <w:multiLevelType w:val="multilevel"/>
    <w:tmpl w:val="1F2E6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3390026">
    <w:abstractNumId w:val="14"/>
  </w:num>
  <w:num w:numId="2" w16cid:durableId="902913636">
    <w:abstractNumId w:val="17"/>
  </w:num>
  <w:num w:numId="3" w16cid:durableId="153881946">
    <w:abstractNumId w:val="0"/>
  </w:num>
  <w:num w:numId="4" w16cid:durableId="1924950984">
    <w:abstractNumId w:val="1"/>
  </w:num>
  <w:num w:numId="5" w16cid:durableId="931356146">
    <w:abstractNumId w:val="13"/>
  </w:num>
  <w:num w:numId="6" w16cid:durableId="1565488532">
    <w:abstractNumId w:val="3"/>
  </w:num>
  <w:num w:numId="7" w16cid:durableId="732310456">
    <w:abstractNumId w:val="8"/>
  </w:num>
  <w:num w:numId="8" w16cid:durableId="896623297">
    <w:abstractNumId w:val="4"/>
  </w:num>
  <w:num w:numId="9" w16cid:durableId="818426769">
    <w:abstractNumId w:val="5"/>
  </w:num>
  <w:num w:numId="10" w16cid:durableId="1645769932">
    <w:abstractNumId w:val="6"/>
  </w:num>
  <w:num w:numId="11" w16cid:durableId="1841461132">
    <w:abstractNumId w:val="7"/>
  </w:num>
  <w:num w:numId="12" w16cid:durableId="1892112972">
    <w:abstractNumId w:val="9"/>
  </w:num>
  <w:num w:numId="13" w16cid:durableId="444153601">
    <w:abstractNumId w:val="10"/>
  </w:num>
  <w:num w:numId="14" w16cid:durableId="947127987">
    <w:abstractNumId w:val="16"/>
  </w:num>
  <w:num w:numId="15" w16cid:durableId="1839612080">
    <w:abstractNumId w:val="2"/>
  </w:num>
  <w:num w:numId="16" w16cid:durableId="2061635225">
    <w:abstractNumId w:val="15"/>
  </w:num>
  <w:num w:numId="17" w16cid:durableId="1170635186">
    <w:abstractNumId w:val="11"/>
  </w:num>
  <w:num w:numId="18" w16cid:durableId="1368680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87"/>
    <w:rsid w:val="00006EB1"/>
    <w:rsid w:val="00030887"/>
    <w:rsid w:val="00042988"/>
    <w:rsid w:val="000B6FEF"/>
    <w:rsid w:val="000E5981"/>
    <w:rsid w:val="00131DFB"/>
    <w:rsid w:val="00132226"/>
    <w:rsid w:val="00135B77"/>
    <w:rsid w:val="00152749"/>
    <w:rsid w:val="00176DE4"/>
    <w:rsid w:val="001814E6"/>
    <w:rsid w:val="00192DF7"/>
    <w:rsid w:val="001B1BFC"/>
    <w:rsid w:val="001C78EE"/>
    <w:rsid w:val="001D3757"/>
    <w:rsid w:val="001D7104"/>
    <w:rsid w:val="001F7D6F"/>
    <w:rsid w:val="002018EB"/>
    <w:rsid w:val="00213794"/>
    <w:rsid w:val="00213F08"/>
    <w:rsid w:val="00235E71"/>
    <w:rsid w:val="0029741E"/>
    <w:rsid w:val="002C3986"/>
    <w:rsid w:val="002E3AD5"/>
    <w:rsid w:val="002E3E50"/>
    <w:rsid w:val="00304756"/>
    <w:rsid w:val="00316EC4"/>
    <w:rsid w:val="003225AE"/>
    <w:rsid w:val="0033387E"/>
    <w:rsid w:val="00335B11"/>
    <w:rsid w:val="003455DE"/>
    <w:rsid w:val="003501C6"/>
    <w:rsid w:val="00366786"/>
    <w:rsid w:val="003B48AF"/>
    <w:rsid w:val="003B4C03"/>
    <w:rsid w:val="003B7115"/>
    <w:rsid w:val="003C4708"/>
    <w:rsid w:val="003D5A95"/>
    <w:rsid w:val="003E7E07"/>
    <w:rsid w:val="003F5D2A"/>
    <w:rsid w:val="00403324"/>
    <w:rsid w:val="00404BA2"/>
    <w:rsid w:val="00412D9E"/>
    <w:rsid w:val="00420708"/>
    <w:rsid w:val="004362D6"/>
    <w:rsid w:val="004478CA"/>
    <w:rsid w:val="00460F7B"/>
    <w:rsid w:val="00472BD0"/>
    <w:rsid w:val="004D7E2D"/>
    <w:rsid w:val="00510F81"/>
    <w:rsid w:val="005572BE"/>
    <w:rsid w:val="0056172E"/>
    <w:rsid w:val="00582485"/>
    <w:rsid w:val="005C0EA9"/>
    <w:rsid w:val="00607ADA"/>
    <w:rsid w:val="00665D66"/>
    <w:rsid w:val="00673BC9"/>
    <w:rsid w:val="006811B2"/>
    <w:rsid w:val="007011C2"/>
    <w:rsid w:val="007245F3"/>
    <w:rsid w:val="00797800"/>
    <w:rsid w:val="007B6EBC"/>
    <w:rsid w:val="00853C49"/>
    <w:rsid w:val="00893E4A"/>
    <w:rsid w:val="008B30A9"/>
    <w:rsid w:val="008B536F"/>
    <w:rsid w:val="008F2747"/>
    <w:rsid w:val="00901EF2"/>
    <w:rsid w:val="00916B30"/>
    <w:rsid w:val="00935FA3"/>
    <w:rsid w:val="00940EBF"/>
    <w:rsid w:val="00947A8B"/>
    <w:rsid w:val="009D4263"/>
    <w:rsid w:val="009E2F10"/>
    <w:rsid w:val="00A774B0"/>
    <w:rsid w:val="00A80460"/>
    <w:rsid w:val="00AE0769"/>
    <w:rsid w:val="00AF1DA8"/>
    <w:rsid w:val="00AF249F"/>
    <w:rsid w:val="00AF52CD"/>
    <w:rsid w:val="00AF71E4"/>
    <w:rsid w:val="00AF790E"/>
    <w:rsid w:val="00B4141B"/>
    <w:rsid w:val="00B56513"/>
    <w:rsid w:val="00B718D1"/>
    <w:rsid w:val="00B9607E"/>
    <w:rsid w:val="00BB061A"/>
    <w:rsid w:val="00BC75A5"/>
    <w:rsid w:val="00BD2EE2"/>
    <w:rsid w:val="00BF07B5"/>
    <w:rsid w:val="00C032A5"/>
    <w:rsid w:val="00C25253"/>
    <w:rsid w:val="00C631B9"/>
    <w:rsid w:val="00CC40F4"/>
    <w:rsid w:val="00CD1EDD"/>
    <w:rsid w:val="00D70B87"/>
    <w:rsid w:val="00DA5F9C"/>
    <w:rsid w:val="00DB339F"/>
    <w:rsid w:val="00DC3C89"/>
    <w:rsid w:val="00DC4E57"/>
    <w:rsid w:val="00E03A48"/>
    <w:rsid w:val="00E15605"/>
    <w:rsid w:val="00E52B21"/>
    <w:rsid w:val="00E81269"/>
    <w:rsid w:val="00E83319"/>
    <w:rsid w:val="00E85BDD"/>
    <w:rsid w:val="00E90667"/>
    <w:rsid w:val="00ED0B3D"/>
    <w:rsid w:val="00ED5C90"/>
    <w:rsid w:val="00EE6095"/>
    <w:rsid w:val="00F00F97"/>
    <w:rsid w:val="00F100B0"/>
    <w:rsid w:val="00F21256"/>
    <w:rsid w:val="00F34EF8"/>
    <w:rsid w:val="00F50A0C"/>
    <w:rsid w:val="00F55183"/>
    <w:rsid w:val="00F9247F"/>
    <w:rsid w:val="00FA26EC"/>
    <w:rsid w:val="00FB44D2"/>
    <w:rsid w:val="00FC1044"/>
    <w:rsid w:val="00FD127A"/>
    <w:rsid w:val="00FF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DA00"/>
  <w15:chartTrackingRefBased/>
  <w15:docId w15:val="{E3BC4B42-65AE-4F3B-82B9-E2C15B13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7"/>
    <w:pPr>
      <w:adjustRightInd w:val="0"/>
      <w:snapToGrid w:val="0"/>
      <w:spacing w:after="120" w:line="312" w:lineRule="auto"/>
    </w:pPr>
    <w:rPr>
      <w:rFonts w:ascii="Avenir Book" w:hAnsi="Avenir Book" w:cs="Times New Roman (Body CS)"/>
      <w:sz w:val="22"/>
    </w:rPr>
  </w:style>
  <w:style w:type="paragraph" w:styleId="Heading1">
    <w:name w:val="heading 1"/>
    <w:basedOn w:val="Normal"/>
    <w:next w:val="Normal"/>
    <w:link w:val="Heading1Char"/>
    <w:qFormat/>
    <w:rsid w:val="00366786"/>
    <w:pPr>
      <w:outlineLvl w:val="0"/>
    </w:pPr>
    <w:rPr>
      <w:b/>
      <w:sz w:val="32"/>
      <w:szCs w:val="32"/>
    </w:rPr>
  </w:style>
  <w:style w:type="paragraph" w:styleId="Heading2">
    <w:name w:val="heading 2"/>
    <w:basedOn w:val="Heading1"/>
    <w:next w:val="Normal"/>
    <w:link w:val="Heading2Char"/>
    <w:uiPriority w:val="9"/>
    <w:unhideWhenUsed/>
    <w:qFormat/>
    <w:rsid w:val="00F9247F"/>
    <w:pPr>
      <w:outlineLvl w:val="1"/>
    </w:pPr>
    <w:rPr>
      <w:color w:val="002060"/>
      <w:sz w:val="28"/>
      <w:szCs w:val="28"/>
    </w:rPr>
  </w:style>
  <w:style w:type="paragraph" w:styleId="Heading3">
    <w:name w:val="heading 3"/>
    <w:basedOn w:val="Normal"/>
    <w:next w:val="Normal"/>
    <w:link w:val="Heading3Char"/>
    <w:uiPriority w:val="9"/>
    <w:unhideWhenUsed/>
    <w:qFormat/>
    <w:rsid w:val="00F9247F"/>
    <w:pPr>
      <w:keepNext/>
      <w:keepLines/>
      <w:spacing w:before="40" w:after="0"/>
      <w:outlineLvl w:val="2"/>
    </w:pPr>
    <w:rPr>
      <w:rFonts w:ascii="Avenir Heavy" w:eastAsiaTheme="majorEastAsia" w:hAnsi="Avenir Heavy" w:cstheme="majorBidi"/>
      <w:b/>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47F"/>
    <w:rPr>
      <w:rFonts w:ascii="Avenir Book" w:hAnsi="Avenir Book" w:cs="Times New Roman (Body CS)"/>
      <w:b/>
      <w:color w:val="002060"/>
      <w:sz w:val="28"/>
      <w:szCs w:val="28"/>
    </w:rPr>
  </w:style>
  <w:style w:type="character" w:customStyle="1" w:styleId="Heading1Char">
    <w:name w:val="Heading 1 Char"/>
    <w:basedOn w:val="DefaultParagraphFont"/>
    <w:link w:val="Heading1"/>
    <w:rsid w:val="00366786"/>
    <w:rPr>
      <w:rFonts w:ascii="Lucida Grande" w:hAnsi="Lucida Grande" w:cs="Times New Roman (Body CS)"/>
      <w:b/>
      <w:sz w:val="32"/>
      <w:szCs w:val="32"/>
    </w:rPr>
  </w:style>
  <w:style w:type="paragraph" w:customStyle="1" w:styleId="Normalwithrule">
    <w:name w:val="Normal with rule"/>
    <w:basedOn w:val="Normal"/>
    <w:next w:val="Normal"/>
    <w:qFormat/>
    <w:rsid w:val="00CD1EDD"/>
    <w:pPr>
      <w:pBdr>
        <w:top w:val="single" w:sz="8" w:space="1" w:color="auto"/>
      </w:pBdr>
    </w:pPr>
  </w:style>
  <w:style w:type="paragraph" w:styleId="ListParagraph">
    <w:name w:val="List Paragraph"/>
    <w:basedOn w:val="Normal"/>
    <w:uiPriority w:val="34"/>
    <w:qFormat/>
    <w:rsid w:val="00F9247F"/>
    <w:pPr>
      <w:ind w:left="360"/>
      <w:contextualSpacing/>
    </w:pPr>
  </w:style>
  <w:style w:type="paragraph" w:styleId="ListBullet">
    <w:name w:val="List Bullet"/>
    <w:basedOn w:val="ListParagraph"/>
    <w:uiPriority w:val="99"/>
    <w:unhideWhenUsed/>
    <w:rsid w:val="00366786"/>
    <w:pPr>
      <w:numPr>
        <w:numId w:val="13"/>
      </w:numPr>
      <w:tabs>
        <w:tab w:val="left" w:pos="360"/>
      </w:tabs>
      <w:ind w:left="360"/>
      <w:contextualSpacing w:val="0"/>
    </w:pPr>
  </w:style>
  <w:style w:type="paragraph" w:styleId="ListNumber">
    <w:name w:val="List Number"/>
    <w:basedOn w:val="Normal"/>
    <w:uiPriority w:val="99"/>
    <w:unhideWhenUsed/>
    <w:rsid w:val="003B48AF"/>
    <w:pPr>
      <w:numPr>
        <w:numId w:val="7"/>
      </w:numPr>
      <w:contextualSpacing/>
    </w:pPr>
  </w:style>
  <w:style w:type="paragraph" w:styleId="ListNumber2">
    <w:name w:val="List Number 2"/>
    <w:basedOn w:val="ListNumber"/>
    <w:uiPriority w:val="99"/>
    <w:unhideWhenUsed/>
    <w:rsid w:val="003B48AF"/>
    <w:pPr>
      <w:numPr>
        <w:numId w:val="6"/>
      </w:numPr>
      <w:contextualSpacing w:val="0"/>
    </w:pPr>
  </w:style>
  <w:style w:type="paragraph" w:styleId="ListNumber3">
    <w:name w:val="List Number 3"/>
    <w:basedOn w:val="Normal"/>
    <w:uiPriority w:val="99"/>
    <w:unhideWhenUsed/>
    <w:rsid w:val="003B48AF"/>
    <w:pPr>
      <w:numPr>
        <w:numId w:val="5"/>
      </w:numPr>
      <w:ind w:left="1260"/>
      <w:contextualSpacing/>
    </w:pPr>
  </w:style>
  <w:style w:type="paragraph" w:styleId="Header">
    <w:name w:val="header"/>
    <w:basedOn w:val="Normal"/>
    <w:link w:val="HeaderChar"/>
    <w:uiPriority w:val="99"/>
    <w:unhideWhenUsed/>
    <w:rsid w:val="003B48AF"/>
    <w:pPr>
      <w:tabs>
        <w:tab w:val="center" w:pos="4680"/>
        <w:tab w:val="right" w:pos="9360"/>
      </w:tabs>
      <w:spacing w:after="0"/>
    </w:pPr>
  </w:style>
  <w:style w:type="character" w:customStyle="1" w:styleId="HeaderChar">
    <w:name w:val="Header Char"/>
    <w:basedOn w:val="DefaultParagraphFont"/>
    <w:link w:val="Header"/>
    <w:uiPriority w:val="99"/>
    <w:rsid w:val="003B48AF"/>
    <w:rPr>
      <w:rFonts w:ascii="Lucida Grande" w:hAnsi="Lucida Grande" w:cs="Times New Roman (Body CS)"/>
      <w:sz w:val="22"/>
    </w:rPr>
  </w:style>
  <w:style w:type="paragraph" w:styleId="Footer">
    <w:name w:val="footer"/>
    <w:basedOn w:val="Normal"/>
    <w:link w:val="FooterChar"/>
    <w:uiPriority w:val="99"/>
    <w:unhideWhenUsed/>
    <w:rsid w:val="003B48AF"/>
    <w:pPr>
      <w:tabs>
        <w:tab w:val="center" w:pos="4680"/>
        <w:tab w:val="right" w:pos="9360"/>
      </w:tabs>
      <w:spacing w:after="0"/>
    </w:pPr>
  </w:style>
  <w:style w:type="character" w:customStyle="1" w:styleId="FooterChar">
    <w:name w:val="Footer Char"/>
    <w:basedOn w:val="DefaultParagraphFont"/>
    <w:link w:val="Footer"/>
    <w:uiPriority w:val="99"/>
    <w:rsid w:val="003B48AF"/>
    <w:rPr>
      <w:rFonts w:ascii="Lucida Grande" w:hAnsi="Lucida Grande" w:cs="Times New Roman (Body CS)"/>
      <w:sz w:val="22"/>
    </w:rPr>
  </w:style>
  <w:style w:type="character" w:styleId="PageNumber">
    <w:name w:val="page number"/>
    <w:basedOn w:val="DefaultParagraphFont"/>
    <w:uiPriority w:val="99"/>
    <w:semiHidden/>
    <w:unhideWhenUsed/>
    <w:rsid w:val="00510F81"/>
  </w:style>
  <w:style w:type="paragraph" w:styleId="BalloonText">
    <w:name w:val="Balloon Text"/>
    <w:basedOn w:val="Normal"/>
    <w:link w:val="BalloonTextChar"/>
    <w:uiPriority w:val="99"/>
    <w:semiHidden/>
    <w:unhideWhenUsed/>
    <w:rsid w:val="00935F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5FA3"/>
    <w:rPr>
      <w:rFonts w:ascii="Times New Roman" w:hAnsi="Times New Roman" w:cs="Times New Roman"/>
      <w:sz w:val="18"/>
      <w:szCs w:val="18"/>
    </w:rPr>
  </w:style>
  <w:style w:type="character" w:styleId="Hyperlink">
    <w:name w:val="Hyperlink"/>
    <w:basedOn w:val="DefaultParagraphFont"/>
    <w:uiPriority w:val="99"/>
    <w:unhideWhenUsed/>
    <w:rsid w:val="004D7E2D"/>
    <w:rPr>
      <w:color w:val="0563C1" w:themeColor="hyperlink"/>
      <w:u w:val="single"/>
    </w:rPr>
  </w:style>
  <w:style w:type="character" w:customStyle="1" w:styleId="Heading3Char">
    <w:name w:val="Heading 3 Char"/>
    <w:basedOn w:val="DefaultParagraphFont"/>
    <w:link w:val="Heading3"/>
    <w:uiPriority w:val="9"/>
    <w:rsid w:val="00F9247F"/>
    <w:rPr>
      <w:rFonts w:ascii="Avenir Heavy" w:eastAsiaTheme="majorEastAsia" w:hAnsi="Avenir Heavy" w:cstheme="majorBidi"/>
      <w:b/>
      <w:color w:val="1F3763" w:themeColor="accent1" w:themeShade="7F"/>
    </w:rPr>
  </w:style>
  <w:style w:type="character" w:styleId="UnresolvedMention">
    <w:name w:val="Unresolved Mention"/>
    <w:basedOn w:val="DefaultParagraphFont"/>
    <w:uiPriority w:val="99"/>
    <w:semiHidden/>
    <w:unhideWhenUsed/>
    <w:rsid w:val="007245F3"/>
    <w:rPr>
      <w:color w:val="605E5C"/>
      <w:shd w:val="clear" w:color="auto" w:fill="E1DFDD"/>
    </w:rPr>
  </w:style>
  <w:style w:type="paragraph" w:styleId="NormalWeb">
    <w:name w:val="Normal (Web)"/>
    <w:basedOn w:val="Normal"/>
    <w:uiPriority w:val="99"/>
    <w:semiHidden/>
    <w:unhideWhenUsed/>
    <w:rsid w:val="006811B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72783">
      <w:bodyDiv w:val="1"/>
      <w:marLeft w:val="0"/>
      <w:marRight w:val="0"/>
      <w:marTop w:val="0"/>
      <w:marBottom w:val="0"/>
      <w:divBdr>
        <w:top w:val="none" w:sz="0" w:space="0" w:color="auto"/>
        <w:left w:val="none" w:sz="0" w:space="0" w:color="auto"/>
        <w:bottom w:val="none" w:sz="0" w:space="0" w:color="auto"/>
        <w:right w:val="none" w:sz="0" w:space="0" w:color="auto"/>
      </w:divBdr>
    </w:div>
    <w:div w:id="139005725">
      <w:bodyDiv w:val="1"/>
      <w:marLeft w:val="0"/>
      <w:marRight w:val="0"/>
      <w:marTop w:val="0"/>
      <w:marBottom w:val="0"/>
      <w:divBdr>
        <w:top w:val="none" w:sz="0" w:space="0" w:color="auto"/>
        <w:left w:val="none" w:sz="0" w:space="0" w:color="auto"/>
        <w:bottom w:val="none" w:sz="0" w:space="0" w:color="auto"/>
        <w:right w:val="none" w:sz="0" w:space="0" w:color="auto"/>
      </w:divBdr>
    </w:div>
    <w:div w:id="670526293">
      <w:bodyDiv w:val="1"/>
      <w:marLeft w:val="0"/>
      <w:marRight w:val="0"/>
      <w:marTop w:val="0"/>
      <w:marBottom w:val="0"/>
      <w:divBdr>
        <w:top w:val="none" w:sz="0" w:space="0" w:color="auto"/>
        <w:left w:val="none" w:sz="0" w:space="0" w:color="auto"/>
        <w:bottom w:val="none" w:sz="0" w:space="0" w:color="auto"/>
        <w:right w:val="none" w:sz="0" w:space="0" w:color="auto"/>
      </w:divBdr>
    </w:div>
    <w:div w:id="825630266">
      <w:bodyDiv w:val="1"/>
      <w:marLeft w:val="0"/>
      <w:marRight w:val="0"/>
      <w:marTop w:val="0"/>
      <w:marBottom w:val="0"/>
      <w:divBdr>
        <w:top w:val="none" w:sz="0" w:space="0" w:color="auto"/>
        <w:left w:val="none" w:sz="0" w:space="0" w:color="auto"/>
        <w:bottom w:val="none" w:sz="0" w:space="0" w:color="auto"/>
        <w:right w:val="none" w:sz="0" w:space="0" w:color="auto"/>
      </w:divBdr>
    </w:div>
    <w:div w:id="896664864">
      <w:bodyDiv w:val="1"/>
      <w:marLeft w:val="0"/>
      <w:marRight w:val="0"/>
      <w:marTop w:val="0"/>
      <w:marBottom w:val="0"/>
      <w:divBdr>
        <w:top w:val="none" w:sz="0" w:space="0" w:color="auto"/>
        <w:left w:val="none" w:sz="0" w:space="0" w:color="auto"/>
        <w:bottom w:val="none" w:sz="0" w:space="0" w:color="auto"/>
        <w:right w:val="none" w:sz="0" w:space="0" w:color="auto"/>
      </w:divBdr>
    </w:div>
    <w:div w:id="957643076">
      <w:bodyDiv w:val="1"/>
      <w:marLeft w:val="0"/>
      <w:marRight w:val="0"/>
      <w:marTop w:val="0"/>
      <w:marBottom w:val="0"/>
      <w:divBdr>
        <w:top w:val="none" w:sz="0" w:space="0" w:color="auto"/>
        <w:left w:val="none" w:sz="0" w:space="0" w:color="auto"/>
        <w:bottom w:val="none" w:sz="0" w:space="0" w:color="auto"/>
        <w:right w:val="none" w:sz="0" w:space="0" w:color="auto"/>
      </w:divBdr>
    </w:div>
    <w:div w:id="1309481773">
      <w:bodyDiv w:val="1"/>
      <w:marLeft w:val="0"/>
      <w:marRight w:val="0"/>
      <w:marTop w:val="0"/>
      <w:marBottom w:val="0"/>
      <w:divBdr>
        <w:top w:val="none" w:sz="0" w:space="0" w:color="auto"/>
        <w:left w:val="none" w:sz="0" w:space="0" w:color="auto"/>
        <w:bottom w:val="none" w:sz="0" w:space="0" w:color="auto"/>
        <w:right w:val="none" w:sz="0" w:space="0" w:color="auto"/>
      </w:divBdr>
    </w:div>
    <w:div w:id="1324895459">
      <w:bodyDiv w:val="1"/>
      <w:marLeft w:val="0"/>
      <w:marRight w:val="0"/>
      <w:marTop w:val="0"/>
      <w:marBottom w:val="0"/>
      <w:divBdr>
        <w:top w:val="none" w:sz="0" w:space="0" w:color="auto"/>
        <w:left w:val="none" w:sz="0" w:space="0" w:color="auto"/>
        <w:bottom w:val="none" w:sz="0" w:space="0" w:color="auto"/>
        <w:right w:val="none" w:sz="0" w:space="0" w:color="auto"/>
      </w:divBdr>
    </w:div>
    <w:div w:id="1452628293">
      <w:bodyDiv w:val="1"/>
      <w:marLeft w:val="0"/>
      <w:marRight w:val="0"/>
      <w:marTop w:val="0"/>
      <w:marBottom w:val="0"/>
      <w:divBdr>
        <w:top w:val="none" w:sz="0" w:space="0" w:color="auto"/>
        <w:left w:val="none" w:sz="0" w:space="0" w:color="auto"/>
        <w:bottom w:val="none" w:sz="0" w:space="0" w:color="auto"/>
        <w:right w:val="none" w:sz="0" w:space="0" w:color="auto"/>
      </w:divBdr>
      <w:divsChild>
        <w:div w:id="2085301433">
          <w:marLeft w:val="480"/>
          <w:marRight w:val="0"/>
          <w:marTop w:val="0"/>
          <w:marBottom w:val="0"/>
          <w:divBdr>
            <w:top w:val="none" w:sz="0" w:space="0" w:color="auto"/>
            <w:left w:val="none" w:sz="0" w:space="0" w:color="auto"/>
            <w:bottom w:val="none" w:sz="0" w:space="0" w:color="auto"/>
            <w:right w:val="none" w:sz="0" w:space="0" w:color="auto"/>
          </w:divBdr>
          <w:divsChild>
            <w:div w:id="16291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9/D2EW00858K" TargetMode="External"/><Relationship Id="rId18" Type="http://schemas.openxmlformats.org/officeDocument/2006/relationships/hyperlink" Target="https://doi.org/10.1016/j.watres.2013.03.00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bioconductor.org/packages/DESeq2/" TargetMode="External"/><Relationship Id="rId7" Type="http://schemas.openxmlformats.org/officeDocument/2006/relationships/webSettings" Target="webSettings.xml"/><Relationship Id="rId12" Type="http://schemas.openxmlformats.org/officeDocument/2006/relationships/hyperlink" Target="https://doi.org/10.1038/s41545-021-00118-1" TargetMode="External"/><Relationship Id="rId17" Type="http://schemas.openxmlformats.org/officeDocument/2006/relationships/hyperlink" Target="https://doi.org/10.1021/es302042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3389/fmicb.2019.00993" TargetMode="External"/><Relationship Id="rId20" Type="http://schemas.openxmlformats.org/officeDocument/2006/relationships/hyperlink" Target="https://doi.org/10.1038/s41522-023-0047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watres.2017.03.031"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oi.org/10.3389/fmicb.2016.0004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166/wrd.2011.000" TargetMode="External"/><Relationship Id="rId19" Type="http://schemas.openxmlformats.org/officeDocument/2006/relationships/hyperlink" Target="https://www.protocols.io/view/modified-dneasy-powerwater-kit-protocol-for-dna-ex-66khhc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21/es402455r" TargetMode="External"/><Relationship Id="rId22" Type="http://schemas.openxmlformats.org/officeDocument/2006/relationships/hyperlink" Target="https://uw.pressbooks.pub/appliedmultivariatestatistics/chapter/simper/"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khardy@nwri-us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ab\Downloads\NWR%20Graduate%20Fellow%20Progress%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04e970-360f-400b-aef9-6e68e35acae3" xsi:nil="true"/>
    <lcf76f155ced4ddcb4097134ff3c332f xmlns="d9a9528d-c7e5-4ba2-bed9-200ff67eef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E7B04E61B694B92FFCAF3B776AF0A" ma:contentTypeVersion="18" ma:contentTypeDescription="Create a new document." ma:contentTypeScope="" ma:versionID="e410c324e35a15335cdab98c64ad6b08">
  <xsd:schema xmlns:xsd="http://www.w3.org/2001/XMLSchema" xmlns:xs="http://www.w3.org/2001/XMLSchema" xmlns:p="http://schemas.microsoft.com/office/2006/metadata/properties" xmlns:ns2="d9a9528d-c7e5-4ba2-bed9-200ff67eefd8" xmlns:ns3="bb04e970-360f-400b-aef9-6e68e35acae3" targetNamespace="http://schemas.microsoft.com/office/2006/metadata/properties" ma:root="true" ma:fieldsID="3e5173d89e22209b77baa92666bd5463" ns2:_="" ns3:_="">
    <xsd:import namespace="d9a9528d-c7e5-4ba2-bed9-200ff67eefd8"/>
    <xsd:import namespace="bb04e970-360f-400b-aef9-6e68e35a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9528d-c7e5-4ba2-bed9-200ff67eef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f36115-e95d-4d05-83f6-dd55e943c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4e970-360f-400b-aef9-6e68e35acae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c6b5d57-a9e2-4c50-87e4-2e14d30a4e7a}" ma:internalName="TaxCatchAll" ma:showField="CatchAllData" ma:web="bb04e970-360f-400b-aef9-6e68e35a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E3D7-5E64-44D7-9B57-91F5EFE534C4}">
  <ds:schemaRefs>
    <ds:schemaRef ds:uri="http://schemas.microsoft.com/sharepoint/v3/contenttype/forms"/>
  </ds:schemaRefs>
</ds:datastoreItem>
</file>

<file path=customXml/itemProps2.xml><?xml version="1.0" encoding="utf-8"?>
<ds:datastoreItem xmlns:ds="http://schemas.openxmlformats.org/officeDocument/2006/customXml" ds:itemID="{0EFD09E8-3DBC-45CB-A4A8-FC52399AA913}">
  <ds:schemaRefs>
    <ds:schemaRef ds:uri="http://schemas.microsoft.com/office/2006/metadata/properties"/>
    <ds:schemaRef ds:uri="http://schemas.microsoft.com/office/infopath/2007/PartnerControls"/>
    <ds:schemaRef ds:uri="bb04e970-360f-400b-aef9-6e68e35acae3"/>
    <ds:schemaRef ds:uri="d9a9528d-c7e5-4ba2-bed9-200ff67eefd8"/>
  </ds:schemaRefs>
</ds:datastoreItem>
</file>

<file path=customXml/itemProps3.xml><?xml version="1.0" encoding="utf-8"?>
<ds:datastoreItem xmlns:ds="http://schemas.openxmlformats.org/officeDocument/2006/customXml" ds:itemID="{FB7699A2-9602-469D-B3DF-5A840CF45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9528d-c7e5-4ba2-bed9-200ff67eefd8"/>
    <ds:schemaRef ds:uri="bb04e970-360f-400b-aef9-6e68e35a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NWR Graduate Fellow Progress Report</Template>
  <TotalTime>13188</TotalTime>
  <Pages>5</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Bartholow</dc:creator>
  <cp:keywords/>
  <dc:description/>
  <cp:lastModifiedBy>Alma Bartholow</cp:lastModifiedBy>
  <cp:revision>31</cp:revision>
  <cp:lastPrinted>2019-03-01T21:55:00Z</cp:lastPrinted>
  <dcterms:created xsi:type="dcterms:W3CDTF">2024-07-01T22:54:00Z</dcterms:created>
  <dcterms:modified xsi:type="dcterms:W3CDTF">2024-07-11T02:42:00Z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0x010100796E7B04E61B694B92FFCAF3B776AF0A</vt:lpwstr>
  </property>
  <property fmtid="{D5CDD505-2E9C-101B-9397-08002B2CF9AE}" pid="3" name="MediaServiceImageTags">
    <vt:lpwstr/>
  </property>
</Properties>
</file>